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0D834" w14:textId="46B11018" w:rsidR="00C439A3" w:rsidRDefault="00EA0C29" w:rsidP="00EA0C29">
      <w:pPr>
        <w:jc w:val="center"/>
      </w:pPr>
      <w:r w:rsidRPr="00EA0C29">
        <w:rPr>
          <w:noProof/>
        </w:rPr>
        <w:drawing>
          <wp:inline distT="0" distB="0" distL="0" distR="0" wp14:anchorId="11C35059" wp14:editId="3248CDBB">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48B5F90A" w14:textId="77777777" w:rsidR="00EA0C29" w:rsidRDefault="00EA0C29">
      <w:pPr>
        <w:jc w:val="right"/>
      </w:pPr>
    </w:p>
    <w:p w14:paraId="0652E92F" w14:textId="054CEE3E" w:rsidR="00C439A3" w:rsidRDefault="00C439A3">
      <w:pPr>
        <w:pStyle w:val="CoverText"/>
        <w:jc w:val="left"/>
        <w:rPr>
          <w:bCs/>
          <w:sz w:val="20"/>
          <w:u w:val="none"/>
        </w:rPr>
      </w:pPr>
      <w:r>
        <w:rPr>
          <w:bCs/>
        </w:rPr>
        <w:t xml:space="preserve">Neutral Citation Number: </w:t>
      </w:r>
      <w:r w:rsidR="0056555B">
        <w:rPr>
          <w:bCs/>
        </w:rPr>
        <w:t>[2023] EWCA Crim 6</w:t>
      </w:r>
      <w:r>
        <w:rPr>
          <w:bCs/>
        </w:rPr>
        <w:br/>
      </w:r>
    </w:p>
    <w:p w14:paraId="35C85C95" w14:textId="341F3CBC" w:rsidR="00C439A3" w:rsidRDefault="00C439A3">
      <w:pPr>
        <w:pStyle w:val="CoverText"/>
        <w:rPr>
          <w:b/>
          <w:spacing w:val="-3"/>
        </w:rPr>
      </w:pPr>
      <w:r>
        <w:t>Case No</w:t>
      </w:r>
      <w:r w:rsidR="00C40041">
        <w:t>s</w:t>
      </w:r>
      <w:r>
        <w:t xml:space="preserve">: </w:t>
      </w:r>
      <w:r w:rsidR="006444D7">
        <w:t>202200816 B3, 202202247 B3, 202202248 B3, 202202249 BC, 202202250 B3, 202202252 B3, 202201866 B4, 202201868 B4</w:t>
      </w:r>
      <w:r w:rsidR="00E826D1">
        <w:t xml:space="preserve">, </w:t>
      </w:r>
      <w:r w:rsidR="00380167">
        <w:t>202200</w:t>
      </w:r>
      <w:r w:rsidR="00E826D1">
        <w:t>734</w:t>
      </w:r>
    </w:p>
    <w:p w14:paraId="629495EC"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6444D7">
        <w:t>CRIMINAL</w:t>
      </w:r>
      <w:r>
        <w:t xml:space="preserve"> DIVISION)</w:t>
      </w:r>
    </w:p>
    <w:p w14:paraId="794857BF" w14:textId="378324AF"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EA0C29">
        <w:t>THE CROWN COURT AT BRADFORD</w:t>
      </w:r>
    </w:p>
    <w:p w14:paraId="675B327F" w14:textId="08C89DE4" w:rsidR="00C439A3" w:rsidRDefault="00EA0C29" w:rsidP="79298C45">
      <w:pPr>
        <w:pStyle w:val="CoverMai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His Honour Judge Burn</w:t>
      </w:r>
    </w:p>
    <w:p w14:paraId="6D667DFF" w14:textId="635F4520" w:rsidR="79298C45" w:rsidRDefault="79298C45" w:rsidP="79298C45">
      <w:pPr>
        <w:pStyle w:val="CoverMai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noProof/>
          <w:szCs w:val="24"/>
        </w:rPr>
      </w:pPr>
      <w:r w:rsidRPr="79298C45">
        <w:rPr>
          <w:bCs/>
          <w:noProof/>
          <w:szCs w:val="24"/>
        </w:rPr>
        <w:t>ON APPEAL FROM THE CROWN COURT AT SNARESBROOK</w:t>
      </w:r>
    </w:p>
    <w:p w14:paraId="14580A3D" w14:textId="253FC288" w:rsidR="79298C45" w:rsidRDefault="79298C45" w:rsidP="79298C45">
      <w:pPr>
        <w:pStyle w:val="CoverMai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noProof/>
          <w:szCs w:val="24"/>
        </w:rPr>
      </w:pPr>
      <w:r w:rsidRPr="79298C45">
        <w:rPr>
          <w:bCs/>
          <w:noProof/>
          <w:szCs w:val="24"/>
        </w:rPr>
        <w:t>His Honour Judge Southern</w:t>
      </w:r>
    </w:p>
    <w:p w14:paraId="7AAE3C1C" w14:textId="77777777" w:rsidR="00C439A3" w:rsidRDefault="00C439A3">
      <w:pPr>
        <w:pStyle w:val="CoverText"/>
      </w:pPr>
      <w:r>
        <w:t>Royal Courts of Justice</w:t>
      </w:r>
    </w:p>
    <w:p w14:paraId="0944EC8B" w14:textId="77777777" w:rsidR="00C439A3" w:rsidRDefault="00C439A3">
      <w:pPr>
        <w:pStyle w:val="CoverText"/>
      </w:pPr>
      <w:r>
        <w:t>Strand, London, WC2A 2LL</w:t>
      </w:r>
    </w:p>
    <w:p w14:paraId="34335967" w14:textId="77777777" w:rsidR="00C439A3" w:rsidRDefault="00C439A3">
      <w:pPr>
        <w:suppressAutoHyphens/>
        <w:jc w:val="right"/>
        <w:rPr>
          <w:spacing w:val="-3"/>
          <w:u w:val="single"/>
        </w:rPr>
      </w:pPr>
    </w:p>
    <w:p w14:paraId="30F99425" w14:textId="4EEAAA05" w:rsidR="00C439A3" w:rsidRDefault="00C439A3">
      <w:pPr>
        <w:pStyle w:val="CoverText"/>
        <w:rPr>
          <w:b/>
        </w:rPr>
      </w:pPr>
      <w:r>
        <w:t xml:space="preserve">Date: </w:t>
      </w:r>
      <w:r w:rsidR="0056555B">
        <w:t>16</w:t>
      </w:r>
      <w:r w:rsidR="007D50BB">
        <w:t xml:space="preserve"> January 2023</w:t>
      </w:r>
    </w:p>
    <w:p w14:paraId="71B50D1B" w14:textId="71012F91" w:rsidR="00C439A3" w:rsidRDefault="00C439A3">
      <w:pPr>
        <w:suppressAutoHyphens/>
        <w:jc w:val="center"/>
        <w:rPr>
          <w:b/>
          <w:spacing w:val="-3"/>
        </w:rPr>
      </w:pPr>
      <w:r>
        <w:rPr>
          <w:b/>
          <w:spacing w:val="-3"/>
        </w:rPr>
        <w:t>Before:</w:t>
      </w:r>
    </w:p>
    <w:p w14:paraId="49C4B174" w14:textId="77777777" w:rsidR="00C439A3" w:rsidRDefault="00C439A3">
      <w:pPr>
        <w:suppressAutoHyphens/>
        <w:jc w:val="center"/>
        <w:rPr>
          <w:spacing w:val="-3"/>
        </w:rPr>
      </w:pPr>
    </w:p>
    <w:p w14:paraId="0D1ED3C5" w14:textId="77777777" w:rsidR="0017624B" w:rsidRDefault="00B11A91"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LORD CHIEF JUSTICE OF ENGLAND AND WALES</w:t>
      </w:r>
    </w:p>
    <w:p w14:paraId="253F3D82" w14:textId="1C138489" w:rsidR="00C439A3" w:rsidRDefault="0017624B"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JAY</w:t>
      </w:r>
      <w:r w:rsidR="00C439A3">
        <w:br/>
      </w:r>
      <w:r w:rsidR="00C439A3">
        <w:rPr>
          <w:b w:val="0"/>
          <w:bCs/>
          <w:u w:val="none"/>
        </w:rPr>
        <w:t>and</w:t>
      </w:r>
    </w:p>
    <w:p w14:paraId="06277B86" w14:textId="1400F2B3" w:rsidR="00C439A3" w:rsidRDefault="00EA0C2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MRS JUSTICE CUTTS</w:t>
      </w:r>
    </w:p>
    <w:p w14:paraId="33BA683F" w14:textId="77777777" w:rsidR="00C439A3" w:rsidRDefault="00C439A3">
      <w:pPr>
        <w:suppressAutoHyphens/>
        <w:jc w:val="center"/>
        <w:rPr>
          <w:spacing w:val="-3"/>
        </w:rPr>
      </w:pPr>
      <w:r>
        <w:rPr>
          <w:spacing w:val="-3"/>
        </w:rPr>
        <w:t>- - - - - - - - - - - - - - - - - - - - -</w:t>
      </w:r>
    </w:p>
    <w:p w14:paraId="113E04F1" w14:textId="1C3AD332" w:rsidR="00C439A3" w:rsidRDefault="00C439A3">
      <w:pPr>
        <w:suppressAutoHyphens/>
        <w:jc w:val="center"/>
        <w:rPr>
          <w:b/>
          <w:spacing w:val="-3"/>
        </w:rPr>
      </w:pPr>
      <w:r>
        <w:rPr>
          <w:b/>
          <w:spacing w:val="-3"/>
        </w:rPr>
        <w:t>Between:</w:t>
      </w:r>
    </w:p>
    <w:p w14:paraId="1350530B"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021"/>
        <w:gridCol w:w="1629"/>
      </w:tblGrid>
      <w:tr w:rsidR="00C439A3" w14:paraId="547FCC7D" w14:textId="77777777" w:rsidTr="00B11A91">
        <w:tc>
          <w:tcPr>
            <w:tcW w:w="1314" w:type="dxa"/>
          </w:tcPr>
          <w:p w14:paraId="0B8E7709" w14:textId="77777777" w:rsidR="00C439A3" w:rsidRDefault="00C439A3">
            <w:pPr>
              <w:suppressAutoHyphens/>
              <w:rPr>
                <w:b/>
                <w:spacing w:val="-3"/>
              </w:rPr>
            </w:pPr>
          </w:p>
        </w:tc>
        <w:tc>
          <w:tcPr>
            <w:tcW w:w="6021" w:type="dxa"/>
          </w:tcPr>
          <w:p w14:paraId="737943EC" w14:textId="1A961D2E" w:rsidR="0017624B" w:rsidRDefault="00EA0C29" w:rsidP="00834C01">
            <w:pPr>
              <w:suppressAutoHyphens/>
              <w:jc w:val="center"/>
              <w:rPr>
                <w:b/>
                <w:spacing w:val="-3"/>
              </w:rPr>
            </w:pPr>
            <w:r>
              <w:rPr>
                <w:b/>
                <w:spacing w:val="-3"/>
              </w:rPr>
              <w:t>THE KING (CITY OF YORK COUNCIL)</w:t>
            </w:r>
          </w:p>
        </w:tc>
        <w:tc>
          <w:tcPr>
            <w:tcW w:w="1629" w:type="dxa"/>
          </w:tcPr>
          <w:p w14:paraId="0E2FA2A8" w14:textId="583E6665" w:rsidR="00C439A3" w:rsidRDefault="00B11A9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Applicant</w:t>
            </w:r>
          </w:p>
        </w:tc>
      </w:tr>
      <w:tr w:rsidR="00C439A3" w14:paraId="78AFC963" w14:textId="77777777" w:rsidTr="00B11A91">
        <w:tc>
          <w:tcPr>
            <w:tcW w:w="1314" w:type="dxa"/>
          </w:tcPr>
          <w:p w14:paraId="45D4BFDC" w14:textId="77777777" w:rsidR="00C439A3" w:rsidRDefault="00C439A3">
            <w:pPr>
              <w:suppressAutoHyphens/>
              <w:rPr>
                <w:b/>
                <w:spacing w:val="-3"/>
              </w:rPr>
            </w:pPr>
          </w:p>
        </w:tc>
        <w:tc>
          <w:tcPr>
            <w:tcW w:w="6021" w:type="dxa"/>
          </w:tcPr>
          <w:p w14:paraId="0DD13CB5" w14:textId="5303F55F" w:rsidR="0017624B" w:rsidRDefault="00C439A3" w:rsidP="00834C01">
            <w:pPr>
              <w:tabs>
                <w:tab w:val="center" w:pos="3312"/>
              </w:tabs>
              <w:suppressAutoHyphens/>
              <w:jc w:val="center"/>
              <w:rPr>
                <w:b/>
                <w:spacing w:val="-3"/>
              </w:rPr>
            </w:pPr>
            <w:r>
              <w:rPr>
                <w:b/>
                <w:spacing w:val="-3"/>
              </w:rPr>
              <w:t xml:space="preserve">- and </w:t>
            </w:r>
            <w:r w:rsidR="0017624B">
              <w:rPr>
                <w:b/>
                <w:spacing w:val="-3"/>
              </w:rPr>
              <w:t>–</w:t>
            </w:r>
          </w:p>
        </w:tc>
        <w:tc>
          <w:tcPr>
            <w:tcW w:w="1629" w:type="dxa"/>
          </w:tcPr>
          <w:p w14:paraId="2F12A0CE" w14:textId="77777777" w:rsidR="00C439A3" w:rsidRDefault="00C439A3">
            <w:pPr>
              <w:suppressAutoHyphens/>
              <w:jc w:val="right"/>
              <w:rPr>
                <w:b/>
                <w:spacing w:val="-3"/>
              </w:rPr>
            </w:pPr>
          </w:p>
        </w:tc>
      </w:tr>
      <w:tr w:rsidR="00C439A3" w14:paraId="20930372" w14:textId="77777777" w:rsidTr="00B11A91">
        <w:tc>
          <w:tcPr>
            <w:tcW w:w="1314" w:type="dxa"/>
          </w:tcPr>
          <w:p w14:paraId="0ACDD0E8" w14:textId="77777777" w:rsidR="00C439A3" w:rsidRDefault="00C439A3">
            <w:pPr>
              <w:suppressAutoHyphens/>
              <w:rPr>
                <w:b/>
                <w:spacing w:val="-3"/>
              </w:rPr>
            </w:pPr>
          </w:p>
        </w:tc>
        <w:tc>
          <w:tcPr>
            <w:tcW w:w="6021" w:type="dxa"/>
          </w:tcPr>
          <w:p w14:paraId="2D0E5BCD" w14:textId="77777777" w:rsidR="003A1E36" w:rsidRDefault="003A1E36" w:rsidP="003A1E36">
            <w:pPr>
              <w:tabs>
                <w:tab w:val="center" w:pos="3312"/>
              </w:tabs>
              <w:suppressAutoHyphens/>
              <w:jc w:val="center"/>
              <w:rPr>
                <w:b/>
                <w:spacing w:val="-3"/>
              </w:rPr>
            </w:pPr>
            <w:r>
              <w:rPr>
                <w:b/>
                <w:spacing w:val="-3"/>
              </w:rPr>
              <w:t>(1) AUH</w:t>
            </w:r>
          </w:p>
          <w:p w14:paraId="1AE480CC" w14:textId="77777777" w:rsidR="003A1E36" w:rsidRDefault="003A1E36" w:rsidP="003A1E36">
            <w:pPr>
              <w:tabs>
                <w:tab w:val="center" w:pos="3312"/>
              </w:tabs>
              <w:suppressAutoHyphens/>
              <w:jc w:val="center"/>
              <w:rPr>
                <w:b/>
                <w:spacing w:val="-3"/>
              </w:rPr>
            </w:pPr>
            <w:r>
              <w:rPr>
                <w:b/>
                <w:spacing w:val="-3"/>
              </w:rPr>
              <w:t>(2) BIM</w:t>
            </w:r>
          </w:p>
          <w:p w14:paraId="4B2DC3DD" w14:textId="77777777" w:rsidR="003A1E36" w:rsidRPr="003A1E36" w:rsidRDefault="003A1E36" w:rsidP="003A1E36">
            <w:pPr>
              <w:tabs>
                <w:tab w:val="center" w:pos="3312"/>
              </w:tabs>
              <w:suppressAutoHyphens/>
              <w:jc w:val="center"/>
              <w:rPr>
                <w:b/>
                <w:spacing w:val="-3"/>
              </w:rPr>
            </w:pPr>
            <w:r w:rsidRPr="003A1E36">
              <w:rPr>
                <w:b/>
                <w:spacing w:val="-3"/>
              </w:rPr>
              <w:t>(3) AQE</w:t>
            </w:r>
          </w:p>
          <w:p w14:paraId="35BFC024" w14:textId="77777777" w:rsidR="003A1E36" w:rsidRDefault="003A1E36" w:rsidP="003A1E36">
            <w:pPr>
              <w:tabs>
                <w:tab w:val="center" w:pos="3312"/>
              </w:tabs>
              <w:suppressAutoHyphens/>
              <w:jc w:val="center"/>
              <w:rPr>
                <w:b/>
                <w:spacing w:val="-3"/>
              </w:rPr>
            </w:pPr>
            <w:r>
              <w:rPr>
                <w:b/>
                <w:spacing w:val="-3"/>
              </w:rPr>
              <w:t>(4) BNZ</w:t>
            </w:r>
          </w:p>
          <w:p w14:paraId="183AEA2A" w14:textId="77777777" w:rsidR="003A1E36" w:rsidRDefault="003A1E36" w:rsidP="003A1E36">
            <w:pPr>
              <w:tabs>
                <w:tab w:val="center" w:pos="3312"/>
              </w:tabs>
              <w:suppressAutoHyphens/>
              <w:jc w:val="center"/>
              <w:rPr>
                <w:b/>
                <w:spacing w:val="-3"/>
              </w:rPr>
            </w:pPr>
            <w:r>
              <w:rPr>
                <w:b/>
                <w:spacing w:val="-3"/>
              </w:rPr>
              <w:t>(5) ABU</w:t>
            </w:r>
          </w:p>
          <w:p w14:paraId="273612DE" w14:textId="77777777" w:rsidR="003A1E36" w:rsidRDefault="003A1E36" w:rsidP="003A1E36">
            <w:pPr>
              <w:tabs>
                <w:tab w:val="center" w:pos="3312"/>
              </w:tabs>
              <w:suppressAutoHyphens/>
              <w:jc w:val="center"/>
              <w:rPr>
                <w:b/>
                <w:spacing w:val="-3"/>
              </w:rPr>
            </w:pPr>
            <w:r>
              <w:rPr>
                <w:b/>
                <w:spacing w:val="-3"/>
              </w:rPr>
              <w:t>(6) BPC</w:t>
            </w:r>
          </w:p>
          <w:p w14:paraId="64BCE071" w14:textId="5F99DF0A" w:rsidR="00B11A91" w:rsidRDefault="00B11A91">
            <w:pPr>
              <w:tabs>
                <w:tab w:val="center" w:pos="3312"/>
              </w:tabs>
              <w:suppressAutoHyphens/>
              <w:jc w:val="center"/>
              <w:rPr>
                <w:b/>
                <w:spacing w:val="-3"/>
              </w:rPr>
            </w:pPr>
          </w:p>
          <w:p w14:paraId="42201C95" w14:textId="1C1AADCD" w:rsidR="00811844" w:rsidRDefault="00811844">
            <w:pPr>
              <w:tabs>
                <w:tab w:val="center" w:pos="3312"/>
              </w:tabs>
              <w:suppressAutoHyphens/>
              <w:jc w:val="center"/>
              <w:rPr>
                <w:b/>
                <w:spacing w:val="-3"/>
              </w:rPr>
            </w:pPr>
          </w:p>
          <w:p w14:paraId="468A652B" w14:textId="3CA40CF2" w:rsidR="00811844" w:rsidRDefault="00CD4363">
            <w:pPr>
              <w:tabs>
                <w:tab w:val="center" w:pos="3312"/>
              </w:tabs>
              <w:suppressAutoHyphens/>
              <w:jc w:val="center"/>
              <w:rPr>
                <w:b/>
                <w:spacing w:val="-3"/>
              </w:rPr>
            </w:pPr>
            <w:r>
              <w:rPr>
                <w:b/>
                <w:spacing w:val="-3"/>
              </w:rPr>
              <w:t xml:space="preserve">THE </w:t>
            </w:r>
            <w:r w:rsidR="007D7410">
              <w:rPr>
                <w:b/>
                <w:spacing w:val="-3"/>
              </w:rPr>
              <w:t>KING</w:t>
            </w:r>
            <w:r w:rsidR="00EC4E27">
              <w:rPr>
                <w:b/>
                <w:spacing w:val="-3"/>
              </w:rPr>
              <w:t xml:space="preserve"> (BIRMINGHAM CITY COUNCIL)</w:t>
            </w:r>
          </w:p>
          <w:p w14:paraId="085772ED" w14:textId="76F65AA4" w:rsidR="001E6EE3" w:rsidRDefault="001E6EE3">
            <w:pPr>
              <w:tabs>
                <w:tab w:val="center" w:pos="3312"/>
              </w:tabs>
              <w:suppressAutoHyphens/>
              <w:jc w:val="center"/>
              <w:rPr>
                <w:b/>
                <w:spacing w:val="-3"/>
              </w:rPr>
            </w:pPr>
            <w:r>
              <w:rPr>
                <w:b/>
                <w:spacing w:val="-3"/>
              </w:rPr>
              <w:t>-and-</w:t>
            </w:r>
          </w:p>
          <w:p w14:paraId="0A6A7DDD" w14:textId="39E7AFFE" w:rsidR="00B11A91" w:rsidRDefault="00B11A91">
            <w:pPr>
              <w:tabs>
                <w:tab w:val="center" w:pos="3312"/>
              </w:tabs>
              <w:suppressAutoHyphens/>
              <w:jc w:val="center"/>
              <w:rPr>
                <w:b/>
                <w:spacing w:val="-3"/>
              </w:rPr>
            </w:pPr>
            <w:r>
              <w:rPr>
                <w:b/>
                <w:spacing w:val="-3"/>
              </w:rPr>
              <w:t>(7) BIY</w:t>
            </w:r>
          </w:p>
          <w:p w14:paraId="09C40F97" w14:textId="6D753D16" w:rsidR="00B11A91" w:rsidRDefault="00B11A91">
            <w:pPr>
              <w:tabs>
                <w:tab w:val="center" w:pos="3312"/>
              </w:tabs>
              <w:suppressAutoHyphens/>
              <w:jc w:val="center"/>
              <w:rPr>
                <w:b/>
                <w:spacing w:val="-3"/>
              </w:rPr>
            </w:pPr>
            <w:r>
              <w:rPr>
                <w:b/>
                <w:spacing w:val="-3"/>
              </w:rPr>
              <w:t>(8) ARA</w:t>
            </w:r>
          </w:p>
          <w:p w14:paraId="45B577BE" w14:textId="21CBAF25" w:rsidR="00FF51C4" w:rsidRDefault="00FF51C4">
            <w:pPr>
              <w:tabs>
                <w:tab w:val="center" w:pos="3312"/>
              </w:tabs>
              <w:suppressAutoHyphens/>
              <w:jc w:val="center"/>
              <w:rPr>
                <w:b/>
                <w:spacing w:val="-3"/>
              </w:rPr>
            </w:pPr>
          </w:p>
          <w:p w14:paraId="1E0AEC25" w14:textId="77777777" w:rsidR="00DC1762" w:rsidRDefault="00DC1762">
            <w:pPr>
              <w:tabs>
                <w:tab w:val="center" w:pos="3312"/>
              </w:tabs>
              <w:suppressAutoHyphens/>
              <w:jc w:val="center"/>
              <w:rPr>
                <w:b/>
                <w:spacing w:val="-3"/>
              </w:rPr>
            </w:pPr>
          </w:p>
          <w:p w14:paraId="6614727B" w14:textId="77777777" w:rsidR="00DC1762" w:rsidRPr="00982FD9" w:rsidRDefault="00DC1762" w:rsidP="00DC1762">
            <w:pPr>
              <w:tabs>
                <w:tab w:val="center" w:pos="3312"/>
              </w:tabs>
              <w:suppressAutoHyphens/>
              <w:jc w:val="center"/>
              <w:rPr>
                <w:b/>
                <w:spacing w:val="-3"/>
              </w:rPr>
            </w:pPr>
            <w:r w:rsidRPr="00982FD9">
              <w:rPr>
                <w:b/>
                <w:spacing w:val="-3"/>
              </w:rPr>
              <w:t>THE KING (CITY OF YORK COUNCIL)</w:t>
            </w:r>
          </w:p>
          <w:p w14:paraId="269BE67C" w14:textId="77777777" w:rsidR="00FF51C4" w:rsidRPr="00982FD9" w:rsidRDefault="00FF51C4" w:rsidP="00FF51C4">
            <w:pPr>
              <w:tabs>
                <w:tab w:val="center" w:pos="3312"/>
              </w:tabs>
              <w:suppressAutoHyphens/>
              <w:jc w:val="center"/>
              <w:rPr>
                <w:b/>
                <w:spacing w:val="-3"/>
              </w:rPr>
            </w:pPr>
            <w:r w:rsidRPr="00982FD9">
              <w:rPr>
                <w:b/>
                <w:spacing w:val="-3"/>
              </w:rPr>
              <w:t>-and-</w:t>
            </w:r>
          </w:p>
          <w:p w14:paraId="1F26F00D" w14:textId="6D329338" w:rsidR="00FF51C4" w:rsidRPr="00982FD9" w:rsidRDefault="00DC1762" w:rsidP="00FF51C4">
            <w:pPr>
              <w:tabs>
                <w:tab w:val="center" w:pos="3312"/>
              </w:tabs>
              <w:suppressAutoHyphens/>
              <w:jc w:val="center"/>
              <w:rPr>
                <w:b/>
                <w:spacing w:val="-3"/>
              </w:rPr>
            </w:pPr>
            <w:r>
              <w:rPr>
                <w:b/>
                <w:spacing w:val="-3"/>
              </w:rPr>
              <w:t>AQE</w:t>
            </w:r>
          </w:p>
          <w:p w14:paraId="187E6B4A" w14:textId="77777777" w:rsidR="00FF51C4" w:rsidRDefault="00FF51C4">
            <w:pPr>
              <w:tabs>
                <w:tab w:val="center" w:pos="3312"/>
              </w:tabs>
              <w:suppressAutoHyphens/>
              <w:jc w:val="center"/>
              <w:rPr>
                <w:b/>
                <w:spacing w:val="-3"/>
              </w:rPr>
            </w:pPr>
          </w:p>
          <w:p w14:paraId="51CE4983" w14:textId="77777777" w:rsidR="00A80893" w:rsidRDefault="00A80893">
            <w:pPr>
              <w:tabs>
                <w:tab w:val="center" w:pos="3312"/>
              </w:tabs>
              <w:suppressAutoHyphens/>
              <w:jc w:val="center"/>
              <w:rPr>
                <w:b/>
                <w:spacing w:val="-3"/>
              </w:rPr>
            </w:pPr>
          </w:p>
          <w:p w14:paraId="4A9D07C2" w14:textId="325BF027" w:rsidR="00A80893" w:rsidRDefault="00A80893">
            <w:pPr>
              <w:tabs>
                <w:tab w:val="center" w:pos="3312"/>
              </w:tabs>
              <w:suppressAutoHyphens/>
              <w:jc w:val="center"/>
              <w:rPr>
                <w:b/>
                <w:spacing w:val="-3"/>
              </w:rPr>
            </w:pPr>
            <w:r>
              <w:rPr>
                <w:b/>
                <w:spacing w:val="-3"/>
              </w:rPr>
              <w:t>-and-</w:t>
            </w:r>
          </w:p>
          <w:p w14:paraId="14D4042A" w14:textId="2BFB4C87" w:rsidR="00A80893" w:rsidRDefault="00A80893">
            <w:pPr>
              <w:tabs>
                <w:tab w:val="center" w:pos="3312"/>
              </w:tabs>
              <w:suppressAutoHyphens/>
              <w:jc w:val="center"/>
              <w:rPr>
                <w:b/>
                <w:spacing w:val="-3"/>
              </w:rPr>
            </w:pPr>
            <w:r>
              <w:rPr>
                <w:b/>
                <w:spacing w:val="-3"/>
              </w:rPr>
              <w:t xml:space="preserve">THE </w:t>
            </w:r>
            <w:r w:rsidR="0017624B">
              <w:rPr>
                <w:b/>
                <w:spacing w:val="-3"/>
              </w:rPr>
              <w:t>LAW SOCIETY OF ENGLAND AND WALES</w:t>
            </w:r>
          </w:p>
        </w:tc>
        <w:tc>
          <w:tcPr>
            <w:tcW w:w="1629" w:type="dxa"/>
          </w:tcPr>
          <w:p w14:paraId="4A61D803" w14:textId="77777777" w:rsidR="00811844" w:rsidRDefault="0081184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34EDC0BE" w14:textId="77777777" w:rsidR="00811844" w:rsidRDefault="0081184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71F64C60" w14:textId="77777777" w:rsidR="00811844" w:rsidRDefault="0081184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0786275C" w14:textId="77777777" w:rsidR="00811844" w:rsidRDefault="0081184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563E03B6" w14:textId="77777777" w:rsidR="0017624B" w:rsidRDefault="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7063FC8F" w14:textId="33D0399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r w:rsidR="00B11A91">
              <w:t>s</w:t>
            </w:r>
          </w:p>
          <w:p w14:paraId="72D220CF" w14:textId="77777777" w:rsidR="00811844" w:rsidRDefault="00811844"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A6A3656" w14:textId="77777777" w:rsidR="00F30DAC" w:rsidRDefault="00F30DAC"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5BE5863E" w14:textId="2C105A70" w:rsidR="001E6EE3" w:rsidRDefault="00CD4363"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p w14:paraId="5C64CC26" w14:textId="77777777" w:rsidR="0017624B" w:rsidRDefault="0017624B"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28AD3ABC" w14:textId="1CC6597D" w:rsidR="0017624B" w:rsidRDefault="0017624B"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u w:val="none"/>
              </w:rPr>
            </w:pPr>
            <w:r w:rsidRPr="0017624B">
              <w:rPr>
                <w:u w:val="none"/>
              </w:rPr>
              <w:t xml:space="preserve"> </w:t>
            </w:r>
          </w:p>
          <w:p w14:paraId="74C33060" w14:textId="7B680416" w:rsidR="001E6EE3" w:rsidRDefault="0017624B"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Pr>
                <w:u w:val="none"/>
              </w:rPr>
              <w:t xml:space="preserve">    </w:t>
            </w:r>
            <w:r w:rsidR="00CD4363">
              <w:t>Applican</w:t>
            </w:r>
            <w:r w:rsidR="001E6EE3">
              <w:t>ts</w:t>
            </w:r>
          </w:p>
          <w:p w14:paraId="6071B2DB" w14:textId="04E766EF" w:rsidR="00FF51C4" w:rsidRDefault="00FF51C4"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62E7A31E" w14:textId="77777777" w:rsidR="00DC1762" w:rsidRDefault="00DC1762" w:rsidP="00982FD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583CE60A" w14:textId="241208C8" w:rsidR="00FF51C4" w:rsidRDefault="00DC1762" w:rsidP="00982FD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Responden</w:t>
            </w:r>
            <w:r w:rsidR="00FF51C4">
              <w:t>t</w:t>
            </w:r>
          </w:p>
          <w:p w14:paraId="3B458C9E" w14:textId="77777777" w:rsidR="00982FD9" w:rsidRDefault="00982FD9" w:rsidP="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E25696E" w14:textId="2EA5982C" w:rsidR="00982FD9" w:rsidRDefault="00DC1762" w:rsidP="00982FD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Applican</w:t>
            </w:r>
            <w:r w:rsidR="00982FD9">
              <w:t>t</w:t>
            </w:r>
          </w:p>
          <w:p w14:paraId="660713E5" w14:textId="77777777" w:rsidR="00A80893" w:rsidRDefault="00A8089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77071591" w14:textId="77777777" w:rsidR="0017624B" w:rsidRDefault="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3596AAE2" w14:textId="77777777" w:rsidR="00CF5BD9" w:rsidRDefault="00CF5BD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24B0755C" w14:textId="702668A1" w:rsidR="00A80893" w:rsidRDefault="00F85804" w:rsidP="00DC176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Intervener</w:t>
            </w:r>
          </w:p>
        </w:tc>
      </w:tr>
      <w:tr w:rsidR="0017624B" w14:paraId="3CC7F6FD" w14:textId="77777777" w:rsidTr="00B11A91">
        <w:tc>
          <w:tcPr>
            <w:tcW w:w="1314" w:type="dxa"/>
          </w:tcPr>
          <w:p w14:paraId="70884056" w14:textId="77777777" w:rsidR="0017624B" w:rsidRDefault="0017624B">
            <w:pPr>
              <w:suppressAutoHyphens/>
              <w:rPr>
                <w:b/>
                <w:spacing w:val="-3"/>
              </w:rPr>
            </w:pPr>
          </w:p>
        </w:tc>
        <w:tc>
          <w:tcPr>
            <w:tcW w:w="6021" w:type="dxa"/>
          </w:tcPr>
          <w:p w14:paraId="36190579" w14:textId="77777777" w:rsidR="0017624B" w:rsidRDefault="0017624B">
            <w:pPr>
              <w:tabs>
                <w:tab w:val="center" w:pos="3312"/>
              </w:tabs>
              <w:suppressAutoHyphens/>
              <w:jc w:val="center"/>
              <w:rPr>
                <w:b/>
                <w:spacing w:val="-3"/>
              </w:rPr>
            </w:pPr>
          </w:p>
        </w:tc>
        <w:tc>
          <w:tcPr>
            <w:tcW w:w="1629" w:type="dxa"/>
          </w:tcPr>
          <w:p w14:paraId="78F3D1E3" w14:textId="77777777" w:rsidR="0017624B" w:rsidRDefault="0017624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bl>
    <w:p w14:paraId="42F7E8A8" w14:textId="77777777" w:rsidR="00C439A3" w:rsidRDefault="00C439A3">
      <w:pPr>
        <w:suppressAutoHyphens/>
        <w:rPr>
          <w:b/>
          <w:spacing w:val="-3"/>
        </w:rPr>
      </w:pPr>
    </w:p>
    <w:p w14:paraId="3BA5505F" w14:textId="77777777" w:rsidR="00C439A3" w:rsidRDefault="00C439A3">
      <w:pPr>
        <w:suppressAutoHyphens/>
        <w:jc w:val="center"/>
        <w:rPr>
          <w:spacing w:val="-3"/>
        </w:rPr>
      </w:pPr>
      <w:r>
        <w:rPr>
          <w:spacing w:val="-3"/>
        </w:rPr>
        <w:lastRenderedPageBreak/>
        <w:t>- - - - - - - - - - - - - - - - - - - - -</w:t>
      </w:r>
    </w:p>
    <w:p w14:paraId="50091019" w14:textId="77777777" w:rsidR="00C439A3" w:rsidRDefault="00C439A3">
      <w:pPr>
        <w:suppressAutoHyphens/>
        <w:jc w:val="center"/>
        <w:rPr>
          <w:spacing w:val="-3"/>
        </w:rPr>
      </w:pPr>
      <w:r>
        <w:rPr>
          <w:spacing w:val="-3"/>
        </w:rPr>
        <w:t>- - - - - - - - - - - - - - - - - - - - -</w:t>
      </w:r>
    </w:p>
    <w:p w14:paraId="06BB62C8" w14:textId="77777777" w:rsidR="00C439A3" w:rsidRDefault="00C439A3">
      <w:pPr>
        <w:suppressAutoHyphens/>
        <w:jc w:val="center"/>
        <w:rPr>
          <w:spacing w:val="-3"/>
        </w:rPr>
      </w:pPr>
    </w:p>
    <w:p w14:paraId="5DC94202" w14:textId="09FA1141" w:rsidR="00C439A3" w:rsidRDefault="00EA0C29" w:rsidP="1540DD9B">
      <w:pPr>
        <w:suppressAutoHyphens/>
        <w:jc w:val="center"/>
        <w:rPr>
          <w:b/>
          <w:bCs/>
          <w:spacing w:val="-3"/>
        </w:rPr>
      </w:pPr>
      <w:r>
        <w:rPr>
          <w:b/>
          <w:bCs/>
          <w:spacing w:val="-3"/>
        </w:rPr>
        <w:t>Jonathan Kirk KC, Cameron Crowe and Sabrina Goodchild</w:t>
      </w:r>
      <w:r w:rsidR="00C439A3">
        <w:rPr>
          <w:bCs/>
          <w:spacing w:val="-3"/>
        </w:rPr>
        <w:t xml:space="preserve"> </w:t>
      </w:r>
      <w:r w:rsidR="00FF3A67">
        <w:rPr>
          <w:bCs/>
          <w:spacing w:val="-3"/>
        </w:rPr>
        <w:t xml:space="preserve">(instructed by </w:t>
      </w:r>
      <w:r w:rsidR="00FF3A67">
        <w:rPr>
          <w:b/>
          <w:spacing w:val="-3"/>
        </w:rPr>
        <w:t xml:space="preserve">Weightmans) </w:t>
      </w:r>
      <w:r w:rsidR="00B11A91" w:rsidRPr="1540DD9B">
        <w:rPr>
          <w:spacing w:val="-3"/>
        </w:rPr>
        <w:t>appeared on behalf of</w:t>
      </w:r>
      <w:r w:rsidR="00C439A3">
        <w:rPr>
          <w:bCs/>
          <w:spacing w:val="-3"/>
        </w:rPr>
        <w:t xml:space="preserve"> </w:t>
      </w:r>
      <w:r>
        <w:rPr>
          <w:b/>
          <w:bCs/>
          <w:spacing w:val="-3"/>
        </w:rPr>
        <w:t>The City of York Council</w:t>
      </w:r>
    </w:p>
    <w:p w14:paraId="7E0D3DFB" w14:textId="5EA84D57" w:rsidR="00383217" w:rsidRDefault="00383217">
      <w:pPr>
        <w:suppressAutoHyphens/>
        <w:jc w:val="center"/>
        <w:rPr>
          <w:b/>
          <w:spacing w:val="-3"/>
        </w:rPr>
      </w:pPr>
      <w:r>
        <w:rPr>
          <w:b/>
          <w:spacing w:val="-3"/>
        </w:rPr>
        <w:t xml:space="preserve">Nina Grahame </w:t>
      </w:r>
      <w:r w:rsidR="006E05F6">
        <w:rPr>
          <w:b/>
          <w:spacing w:val="-3"/>
        </w:rPr>
        <w:t>K</w:t>
      </w:r>
      <w:r>
        <w:rPr>
          <w:b/>
          <w:spacing w:val="-3"/>
        </w:rPr>
        <w:t>C and Charlotte A</w:t>
      </w:r>
      <w:r w:rsidR="00361784">
        <w:rPr>
          <w:b/>
          <w:spacing w:val="-3"/>
        </w:rPr>
        <w:t>th</w:t>
      </w:r>
      <w:r>
        <w:rPr>
          <w:b/>
          <w:spacing w:val="-3"/>
        </w:rPr>
        <w:t>erton</w:t>
      </w:r>
      <w:r>
        <w:rPr>
          <w:bCs/>
          <w:spacing w:val="-3"/>
        </w:rPr>
        <w:t xml:space="preserve"> (instructed by </w:t>
      </w:r>
      <w:r w:rsidR="00361784" w:rsidRPr="00404A38">
        <w:rPr>
          <w:b/>
          <w:bCs/>
          <w:iCs/>
        </w:rPr>
        <w:t>Keith Dyson Solicitors</w:t>
      </w:r>
      <w:r>
        <w:rPr>
          <w:bCs/>
          <w:spacing w:val="-3"/>
        </w:rPr>
        <w:t xml:space="preserve">) for the </w:t>
      </w:r>
      <w:r>
        <w:rPr>
          <w:b/>
          <w:spacing w:val="-3"/>
        </w:rPr>
        <w:t>Second Respondent</w:t>
      </w:r>
    </w:p>
    <w:p w14:paraId="6D55175B" w14:textId="6055D59D" w:rsidR="0007513F" w:rsidRDefault="00042584" w:rsidP="1540DD9B">
      <w:pPr>
        <w:suppressAutoHyphens/>
        <w:jc w:val="center"/>
        <w:rPr>
          <w:b/>
          <w:bCs/>
          <w:spacing w:val="-3"/>
        </w:rPr>
      </w:pPr>
      <w:r w:rsidRPr="00042584">
        <w:rPr>
          <w:b/>
          <w:bCs/>
          <w:color w:val="000000"/>
        </w:rPr>
        <w:t>Richard Kovalevsky KC and Charlotte Ritchie</w:t>
      </w:r>
      <w:r>
        <w:rPr>
          <w:color w:val="000000"/>
        </w:rPr>
        <w:t xml:space="preserve"> (instructed </w:t>
      </w:r>
      <w:r>
        <w:t xml:space="preserve">by </w:t>
      </w:r>
      <w:r w:rsidRPr="00E8618F">
        <w:rPr>
          <w:b/>
          <w:bCs/>
        </w:rPr>
        <w:t>Cohen &amp; Gresser LLP</w:t>
      </w:r>
      <w:r>
        <w:rPr>
          <w:color w:val="000000"/>
        </w:rPr>
        <w:t xml:space="preserve">) and </w:t>
      </w:r>
      <w:r w:rsidRPr="00042584">
        <w:rPr>
          <w:b/>
          <w:bCs/>
          <w:color w:val="000000"/>
        </w:rPr>
        <w:t>Jonathan Ashley-Norman KC and Mandip Kumar, Solicitor Advocate</w:t>
      </w:r>
      <w:r>
        <w:rPr>
          <w:color w:val="000000"/>
        </w:rPr>
        <w:t xml:space="preserve"> (instructed by </w:t>
      </w:r>
      <w:r w:rsidRPr="00042584">
        <w:rPr>
          <w:b/>
          <w:bCs/>
          <w:color w:val="000000"/>
        </w:rPr>
        <w:t>Precedence Law</w:t>
      </w:r>
      <w:r>
        <w:rPr>
          <w:color w:val="000000"/>
        </w:rPr>
        <w:t xml:space="preserve">) </w:t>
      </w:r>
      <w:r w:rsidR="0007513F" w:rsidRPr="1540DD9B">
        <w:rPr>
          <w:spacing w:val="-3"/>
        </w:rPr>
        <w:t xml:space="preserve">for the </w:t>
      </w:r>
      <w:r w:rsidR="0007513F" w:rsidRPr="1540DD9B">
        <w:rPr>
          <w:b/>
          <w:bCs/>
          <w:spacing w:val="-3"/>
        </w:rPr>
        <w:t>Third Respondent</w:t>
      </w:r>
    </w:p>
    <w:p w14:paraId="3A36CE82" w14:textId="16D0ADCD" w:rsidR="00B70BB9" w:rsidRPr="00B70BB9" w:rsidRDefault="00B70BB9">
      <w:pPr>
        <w:suppressAutoHyphens/>
        <w:jc w:val="center"/>
        <w:rPr>
          <w:bCs/>
          <w:spacing w:val="-3"/>
        </w:rPr>
      </w:pPr>
      <w:r w:rsidRPr="002A54BA">
        <w:rPr>
          <w:b/>
          <w:spacing w:val="-3"/>
        </w:rPr>
        <w:t>The</w:t>
      </w:r>
      <w:r w:rsidRPr="00B70BB9">
        <w:rPr>
          <w:bCs/>
          <w:spacing w:val="-3"/>
        </w:rPr>
        <w:t xml:space="preserve"> </w:t>
      </w:r>
      <w:r>
        <w:rPr>
          <w:b/>
          <w:spacing w:val="-3"/>
        </w:rPr>
        <w:t xml:space="preserve">First, Fourth, Fifth and Sixth Respondents </w:t>
      </w:r>
      <w:r w:rsidRPr="00B70BB9">
        <w:rPr>
          <w:bCs/>
          <w:spacing w:val="-3"/>
        </w:rPr>
        <w:t>were neither present nor represented</w:t>
      </w:r>
    </w:p>
    <w:p w14:paraId="7ACE2D08" w14:textId="362758DD" w:rsidR="007655C3" w:rsidRDefault="007655C3" w:rsidP="00B70BB9">
      <w:pPr>
        <w:suppressAutoHyphens/>
        <w:rPr>
          <w:b/>
          <w:spacing w:val="-3"/>
        </w:rPr>
      </w:pPr>
    </w:p>
    <w:p w14:paraId="1E88F718" w14:textId="77777777" w:rsidR="000720AB" w:rsidRDefault="000720AB">
      <w:pPr>
        <w:suppressAutoHyphens/>
        <w:jc w:val="center"/>
        <w:rPr>
          <w:b/>
          <w:spacing w:val="-3"/>
        </w:rPr>
      </w:pPr>
    </w:p>
    <w:p w14:paraId="2561DB50" w14:textId="3AEAB4F6" w:rsidR="000720AB" w:rsidRDefault="00EA0C29" w:rsidP="000720AB">
      <w:pPr>
        <w:suppressAutoHyphens/>
        <w:jc w:val="center"/>
        <w:rPr>
          <w:b/>
          <w:spacing w:val="-3"/>
        </w:rPr>
      </w:pPr>
      <w:r>
        <w:rPr>
          <w:b/>
          <w:spacing w:val="-3"/>
        </w:rPr>
        <w:t>Richard Barraclough KC and Joseph Millington</w:t>
      </w:r>
      <w:r w:rsidR="000720AB">
        <w:rPr>
          <w:b/>
          <w:spacing w:val="-3"/>
        </w:rPr>
        <w:t xml:space="preserve"> </w:t>
      </w:r>
      <w:r w:rsidR="000720AB">
        <w:rPr>
          <w:bCs/>
          <w:spacing w:val="-3"/>
        </w:rPr>
        <w:t xml:space="preserve">appeared on behalf of </w:t>
      </w:r>
      <w:r>
        <w:rPr>
          <w:b/>
          <w:spacing w:val="-3"/>
        </w:rPr>
        <w:t>Birmingham City Council</w:t>
      </w:r>
    </w:p>
    <w:p w14:paraId="18907C78" w14:textId="74542C73" w:rsidR="000A1388" w:rsidRPr="009D520A" w:rsidRDefault="004E4E8F" w:rsidP="000A1388">
      <w:pPr>
        <w:suppressAutoHyphens/>
        <w:jc w:val="center"/>
        <w:rPr>
          <w:b/>
          <w:spacing w:val="-3"/>
        </w:rPr>
      </w:pPr>
      <w:r>
        <w:rPr>
          <w:b/>
          <w:spacing w:val="-3"/>
        </w:rPr>
        <w:t>Sallie Bennet</w:t>
      </w:r>
      <w:r w:rsidR="00DB0BA7">
        <w:rPr>
          <w:b/>
          <w:spacing w:val="-3"/>
        </w:rPr>
        <w:t>t</w:t>
      </w:r>
      <w:r>
        <w:rPr>
          <w:b/>
          <w:spacing w:val="-3"/>
        </w:rPr>
        <w:t xml:space="preserve">-Jenkins </w:t>
      </w:r>
      <w:r w:rsidR="006E05F6">
        <w:rPr>
          <w:b/>
          <w:spacing w:val="-3"/>
        </w:rPr>
        <w:t>K</w:t>
      </w:r>
      <w:r>
        <w:rPr>
          <w:b/>
          <w:spacing w:val="-3"/>
        </w:rPr>
        <w:t>C and Daniel Chadwick</w:t>
      </w:r>
      <w:r>
        <w:rPr>
          <w:bCs/>
          <w:spacing w:val="-3"/>
        </w:rPr>
        <w:t xml:space="preserve"> (instructed by </w:t>
      </w:r>
      <w:r w:rsidR="0005217D" w:rsidRPr="002E52E8">
        <w:rPr>
          <w:b/>
          <w:bCs/>
        </w:rPr>
        <w:t>Edward Fail, Bradshaw &amp; Waterson</w:t>
      </w:r>
      <w:r>
        <w:rPr>
          <w:bCs/>
          <w:spacing w:val="-3"/>
        </w:rPr>
        <w:t xml:space="preserve">) for the </w:t>
      </w:r>
      <w:r w:rsidR="000A1388" w:rsidRPr="009D520A">
        <w:rPr>
          <w:bCs/>
          <w:spacing w:val="-3"/>
        </w:rPr>
        <w:t>B</w:t>
      </w:r>
      <w:r w:rsidR="003A76F7">
        <w:rPr>
          <w:bCs/>
          <w:spacing w:val="-3"/>
        </w:rPr>
        <w:t>IY</w:t>
      </w:r>
    </w:p>
    <w:p w14:paraId="7C299356" w14:textId="77777777" w:rsidR="000A1388" w:rsidRPr="009D520A" w:rsidRDefault="000A1388" w:rsidP="000A1388">
      <w:pPr>
        <w:suppressAutoHyphens/>
        <w:jc w:val="center"/>
        <w:rPr>
          <w:bCs/>
          <w:spacing w:val="-3"/>
        </w:rPr>
      </w:pPr>
      <w:r w:rsidRPr="009D520A">
        <w:rPr>
          <w:b/>
          <w:spacing w:val="-3"/>
        </w:rPr>
        <w:t xml:space="preserve">Lewis MacDonald </w:t>
      </w:r>
      <w:r w:rsidRPr="009D520A">
        <w:rPr>
          <w:bCs/>
          <w:spacing w:val="-3"/>
        </w:rPr>
        <w:t xml:space="preserve">(instructed by </w:t>
      </w:r>
      <w:r w:rsidRPr="009D520A">
        <w:rPr>
          <w:b/>
          <w:spacing w:val="-3"/>
        </w:rPr>
        <w:t xml:space="preserve">Edward Fail, Bradshaw &amp; Waterson) </w:t>
      </w:r>
      <w:r w:rsidRPr="009D520A">
        <w:rPr>
          <w:bCs/>
          <w:spacing w:val="-3"/>
        </w:rPr>
        <w:t>for ARA</w:t>
      </w:r>
    </w:p>
    <w:p w14:paraId="670BC75C" w14:textId="62064E30" w:rsidR="00B70BB9" w:rsidRPr="00B70BB9" w:rsidRDefault="00B70BB9" w:rsidP="000A1388">
      <w:pPr>
        <w:suppressAutoHyphens/>
        <w:jc w:val="center"/>
        <w:rPr>
          <w:bCs/>
          <w:spacing w:val="-3"/>
        </w:rPr>
      </w:pPr>
    </w:p>
    <w:p w14:paraId="642416C3" w14:textId="1AACA2A0" w:rsidR="00936DB0" w:rsidRPr="004E4E8F" w:rsidRDefault="0017624B">
      <w:pPr>
        <w:suppressAutoHyphens/>
        <w:jc w:val="center"/>
        <w:rPr>
          <w:b/>
          <w:spacing w:val="-3"/>
        </w:rPr>
      </w:pPr>
      <w:r>
        <w:rPr>
          <w:b/>
          <w:bCs/>
        </w:rPr>
        <w:t xml:space="preserve">The Intervener </w:t>
      </w:r>
      <w:r w:rsidRPr="0017624B">
        <w:t>filed written submissions</w:t>
      </w:r>
    </w:p>
    <w:p w14:paraId="5DE0F795" w14:textId="77777777" w:rsidR="00C439A3" w:rsidRDefault="00C439A3">
      <w:pPr>
        <w:suppressAutoHyphens/>
        <w:jc w:val="center"/>
        <w:rPr>
          <w:b/>
          <w:spacing w:val="-3"/>
        </w:rPr>
      </w:pPr>
    </w:p>
    <w:p w14:paraId="1A86EF1D" w14:textId="5BFDFCCC" w:rsidR="00C439A3" w:rsidRDefault="00C439A3">
      <w:pPr>
        <w:suppressAutoHyphens/>
        <w:jc w:val="center"/>
        <w:rPr>
          <w:spacing w:val="-3"/>
        </w:rPr>
      </w:pPr>
      <w:r>
        <w:rPr>
          <w:spacing w:val="-3"/>
        </w:rPr>
        <w:t>Hearing date:</w:t>
      </w:r>
      <w:r w:rsidR="0017624B">
        <w:rPr>
          <w:spacing w:val="-3"/>
        </w:rPr>
        <w:t xml:space="preserve"> </w:t>
      </w:r>
      <w:r w:rsidR="0017624B" w:rsidRPr="0017624B">
        <w:rPr>
          <w:b/>
          <w:bCs/>
          <w:spacing w:val="-3"/>
        </w:rPr>
        <w:t>3 November 2022</w:t>
      </w:r>
    </w:p>
    <w:p w14:paraId="458FF929" w14:textId="77777777" w:rsidR="00C439A3" w:rsidRDefault="00C439A3">
      <w:pPr>
        <w:suppressAutoHyphens/>
        <w:jc w:val="center"/>
        <w:rPr>
          <w:spacing w:val="-3"/>
        </w:rPr>
      </w:pPr>
      <w:r>
        <w:rPr>
          <w:spacing w:val="-3"/>
        </w:rPr>
        <w:t>- - - - - - - - - - - - - - - - - - - - -</w:t>
      </w:r>
    </w:p>
    <w:p w14:paraId="3F567AA1" w14:textId="27B18988" w:rsidR="00C439A3" w:rsidRDefault="00EA0C29" w:rsidP="00EA0C29">
      <w:pPr>
        <w:pStyle w:val="CoverDesc"/>
      </w:pPr>
      <w:r>
        <w:t>Approved Judgment</w:t>
      </w:r>
    </w:p>
    <w:p w14:paraId="644B8E3B" w14:textId="77777777" w:rsidR="00EA0C29" w:rsidRDefault="00EA0C29" w:rsidP="00EA0C29">
      <w:pPr>
        <w:jc w:val="center"/>
      </w:pPr>
      <w:r>
        <w:t xml:space="preserve"> </w:t>
      </w:r>
    </w:p>
    <w:p w14:paraId="23A93721" w14:textId="5D8A20BB" w:rsidR="00EA0C29" w:rsidRDefault="00EA0C29" w:rsidP="00EA0C29">
      <w:pPr>
        <w:jc w:val="center"/>
      </w:pPr>
      <w:r>
        <w:t>This judgment was handed down remotely at 10.30am on 16 January 2023 by circulation to the parties or their representatives by e-mail and by release to the National Archives.</w:t>
      </w:r>
    </w:p>
    <w:p w14:paraId="087684A2" w14:textId="77777777" w:rsidR="00EA0C29" w:rsidRDefault="00EA0C29" w:rsidP="00EA0C29">
      <w:pPr>
        <w:jc w:val="center"/>
      </w:pPr>
    </w:p>
    <w:p w14:paraId="18255BA9" w14:textId="77777777" w:rsidR="00EA0C29" w:rsidRDefault="00EA0C29" w:rsidP="00EA0C29">
      <w:pPr>
        <w:jc w:val="center"/>
      </w:pPr>
      <w:r>
        <w:t>.............................</w:t>
      </w:r>
    </w:p>
    <w:p w14:paraId="60F5E438" w14:textId="45CB0255" w:rsidR="00EA0C29" w:rsidRPr="00EA0C29" w:rsidRDefault="00EA0C29" w:rsidP="00EA0C29">
      <w:pPr>
        <w:jc w:val="center"/>
      </w:pPr>
    </w:p>
    <w:p w14:paraId="73AB3911" w14:textId="77777777" w:rsidR="00C439A3" w:rsidRDefault="00C439A3">
      <w:pPr>
        <w:pStyle w:val="CoverDesc"/>
        <w:rPr>
          <w:sz w:val="24"/>
        </w:rPr>
      </w:pPr>
    </w:p>
    <w:p w14:paraId="00A93101" w14:textId="77777777" w:rsidR="00C439A3" w:rsidRDefault="00C439A3"/>
    <w:p w14:paraId="75C9B4FF" w14:textId="77777777" w:rsidR="00C439A3" w:rsidRDefault="00C439A3"/>
    <w:p w14:paraId="35BF3814" w14:textId="30418A4A" w:rsidR="00F50AFF" w:rsidRDefault="00F50AFF">
      <w:pPr>
        <w:sectPr w:rsidR="00F50AFF">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p>
    <w:p w14:paraId="03D72306" w14:textId="33820607" w:rsidR="00C439A3" w:rsidRDefault="00EA0C29">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Lord Burnett of Maldon CJ</w:t>
      </w:r>
      <w:r w:rsidR="00C439A3">
        <w:rPr>
          <w:b/>
        </w:rPr>
        <w:t>:</w:t>
      </w:r>
      <w:r w:rsidR="00C439A3">
        <w:t xml:space="preserve"> </w:t>
      </w:r>
    </w:p>
    <w:p w14:paraId="25AB5145" w14:textId="1F0D4D92" w:rsidR="009D1792" w:rsidRDefault="009D1792" w:rsidP="00EA0C29">
      <w:pPr>
        <w:pStyle w:val="ParaLevel1"/>
      </w:pPr>
      <w:r>
        <w:t>The background to these two appeals against rulings</w:t>
      </w:r>
      <w:r w:rsidR="73822263">
        <w:t xml:space="preserve"> made in preparatory hearings</w:t>
      </w:r>
      <w:r>
        <w:t xml:space="preserve"> has been set out in the</w:t>
      </w:r>
      <w:r w:rsidR="001C399D">
        <w:t xml:space="preserve"> court’s</w:t>
      </w:r>
      <w:r>
        <w:t xml:space="preserve"> judgment</w:t>
      </w:r>
      <w:r w:rsidR="0076390D">
        <w:t xml:space="preserve"> handed </w:t>
      </w:r>
      <w:r w:rsidR="00C3698B">
        <w:t>d</w:t>
      </w:r>
      <w:r w:rsidR="0076390D">
        <w:t xml:space="preserve">own on </w:t>
      </w:r>
      <w:r w:rsidR="00C3698B">
        <w:t>9 August 2022</w:t>
      </w:r>
      <w:r>
        <w:t xml:space="preserve"> (Lord Burnett of Maldon CJ, Jeremy Baker and Cutts JJ) ([2022] EWCA Crim 1113)</w:t>
      </w:r>
      <w:r w:rsidR="00F57903">
        <w:t>.</w:t>
      </w:r>
      <w:r w:rsidR="00736284">
        <w:t xml:space="preserve"> </w:t>
      </w:r>
      <w:bookmarkStart w:id="0" w:name="para4"/>
      <w:r w:rsidR="00736284">
        <w:t>Both cases arise from alleged criminality which is said to comprise consumer offences under paragraph 46(2) of Schedule 5 to the Consumer Rights</w:t>
      </w:r>
      <w:r w:rsidR="00CF5CC1">
        <w:t xml:space="preserve"> Act</w:t>
      </w:r>
      <w:r w:rsidR="00736284">
        <w:t xml:space="preserve"> 2015</w:t>
      </w:r>
      <w:r w:rsidR="00CF5CC1">
        <w:t xml:space="preserve"> </w:t>
      </w:r>
      <w:r w:rsidR="002C597C">
        <w:t xml:space="preserve">(“the </w:t>
      </w:r>
      <w:r w:rsidR="00634D73">
        <w:t xml:space="preserve">CRA </w:t>
      </w:r>
      <w:r w:rsidR="002C597C">
        <w:t>2015”)</w:t>
      </w:r>
      <w:r w:rsidR="00736284">
        <w:t>.</w:t>
      </w:r>
      <w:r w:rsidR="002C597C">
        <w:t xml:space="preserve"> The</w:t>
      </w:r>
      <w:bookmarkEnd w:id="0"/>
      <w:r>
        <w:t xml:space="preserve"> Court ruled that paragraph 46(1) of schedule 5 to th</w:t>
      </w:r>
      <w:r w:rsidR="002C597C">
        <w:t xml:space="preserve">at </w:t>
      </w:r>
      <w:r w:rsidR="00E04721">
        <w:t>Act confers</w:t>
      </w:r>
      <w:r>
        <w:t xml:space="preserve"> power upon a local authority to prosecute consumer offences irrespective of a connection with </w:t>
      </w:r>
      <w:r w:rsidR="00E135BD">
        <w:t>its</w:t>
      </w:r>
      <w:r>
        <w:t xml:space="preserve"> area.</w:t>
      </w:r>
      <w:r w:rsidR="002C597C">
        <w:t xml:space="preserve"> That was the first of</w:t>
      </w:r>
      <w:r w:rsidR="00E135BD">
        <w:t xml:space="preserve"> the</w:t>
      </w:r>
      <w:r w:rsidR="002C597C">
        <w:t xml:space="preserve"> issues </w:t>
      </w:r>
      <w:r w:rsidR="004F0D5D">
        <w:t>said to arise in these appeals</w:t>
      </w:r>
      <w:r w:rsidR="004F2CC4">
        <w:t>.</w:t>
      </w:r>
    </w:p>
    <w:p w14:paraId="7AABB220" w14:textId="1FBB47FA" w:rsidR="009D1792" w:rsidRDefault="009D1792" w:rsidP="00EA0C29">
      <w:pPr>
        <w:pStyle w:val="ParaLevel1"/>
      </w:pPr>
      <w:r>
        <w:t xml:space="preserve">The parties </w:t>
      </w:r>
      <w:r w:rsidR="004F0D5D">
        <w:t xml:space="preserve">have identified </w:t>
      </w:r>
      <w:r>
        <w:t>six further issues</w:t>
      </w:r>
      <w:r w:rsidR="00762574">
        <w:t>,</w:t>
      </w:r>
      <w:r w:rsidR="00555832">
        <w:t xml:space="preserve"> some of which </w:t>
      </w:r>
      <w:r w:rsidR="002901F0">
        <w:t xml:space="preserve">are conditional on the </w:t>
      </w:r>
      <w:r w:rsidR="00705CF7">
        <w:t>outcome</w:t>
      </w:r>
      <w:r w:rsidR="002901F0">
        <w:t xml:space="preserve"> of others</w:t>
      </w:r>
      <w:r w:rsidR="00705CF7">
        <w:t>:</w:t>
      </w:r>
    </w:p>
    <w:p w14:paraId="67D85295" w14:textId="19CAC0E2" w:rsidR="009D1792" w:rsidRDefault="009D1792" w:rsidP="00EA0C29">
      <w:pPr>
        <w:pStyle w:val="ParaLevel1"/>
        <w:numPr>
          <w:ilvl w:val="0"/>
          <w:numId w:val="19"/>
        </w:numPr>
      </w:pPr>
      <w:r>
        <w:t xml:space="preserve">Do the indicted offences of money laundering and conspiracy to defraud qualify as consumer offences under paragraph 46(2)(d) of schedule 5 to the </w:t>
      </w:r>
      <w:r w:rsidR="00634D73">
        <w:t xml:space="preserve">CRA </w:t>
      </w:r>
      <w:r>
        <w:t>2015</w:t>
      </w:r>
      <w:r w:rsidR="00CB4903">
        <w:t xml:space="preserve"> by virtue of “originating from an investigation into” a consumer breach</w:t>
      </w:r>
      <w:r>
        <w:t>?</w:t>
      </w:r>
    </w:p>
    <w:p w14:paraId="79317D44" w14:textId="234B60D0" w:rsidR="009D1792" w:rsidRDefault="009D1792" w:rsidP="00EA0C29">
      <w:pPr>
        <w:pStyle w:val="ParaLevel1"/>
        <w:numPr>
          <w:ilvl w:val="0"/>
          <w:numId w:val="19"/>
        </w:numPr>
      </w:pPr>
      <w:r>
        <w:t>Was Birmingham required by section 401(2)(b) of the Financial Services and Markets Act 2000 (“FSMA 2000”) to obtain the D</w:t>
      </w:r>
      <w:r w:rsidR="00D16551">
        <w:t xml:space="preserve">irector of </w:t>
      </w:r>
      <w:r>
        <w:t>P</w:t>
      </w:r>
      <w:r w:rsidR="00D16551">
        <w:t xml:space="preserve">ublic </w:t>
      </w:r>
      <w:r>
        <w:t>P</w:t>
      </w:r>
      <w:r w:rsidR="00D16551">
        <w:t>rosecution</w:t>
      </w:r>
      <w:r>
        <w:t>’s consent before prosecuting the charge of illegal moneylending under that Act?</w:t>
      </w:r>
    </w:p>
    <w:p w14:paraId="2171B581" w14:textId="6922FBA3" w:rsidR="009D1792" w:rsidRDefault="009D1792" w:rsidP="00EA0C29">
      <w:pPr>
        <w:pStyle w:val="ParaLevel1"/>
        <w:numPr>
          <w:ilvl w:val="0"/>
          <w:numId w:val="19"/>
        </w:numPr>
      </w:pPr>
      <w:r>
        <w:t xml:space="preserve">Was HHJ Burn’s indication in the York case requiring the </w:t>
      </w:r>
      <w:r w:rsidR="001310FA">
        <w:t>p</w:t>
      </w:r>
      <w:r>
        <w:t>rosecution to elect between conspiracy to defraud and money laundering charges in relation to BIM (a) an appealable ruling, and if so (b) correct?</w:t>
      </w:r>
    </w:p>
    <w:p w14:paraId="55D4F0FD" w14:textId="07E47419" w:rsidR="009D1792" w:rsidRDefault="009D1792" w:rsidP="00EA0C29">
      <w:pPr>
        <w:pStyle w:val="ParaLevel1"/>
        <w:numPr>
          <w:ilvl w:val="0"/>
          <w:numId w:val="19"/>
        </w:numPr>
      </w:pPr>
      <w:r>
        <w:t xml:space="preserve">Was the agreement between Bristol and York </w:t>
      </w:r>
      <w:r w:rsidR="00CB4903">
        <w:t xml:space="preserve">under section 101(1)(b) of the Local Government Act 1972 (“the LGA 1972”) sufficient to give York </w:t>
      </w:r>
      <w:bookmarkStart w:id="1" w:name="_Int_7AztKMzM"/>
      <w:r w:rsidR="00CB4903">
        <w:t>jurisdiction</w:t>
      </w:r>
      <w:bookmarkEnd w:id="1"/>
      <w:r w:rsidR="00CB4903">
        <w:t xml:space="preserve"> to prosecute counts 1</w:t>
      </w:r>
      <w:r w:rsidR="00CE2A05">
        <w:t xml:space="preserve"> to </w:t>
      </w:r>
      <w:r w:rsidR="00CB4903">
        <w:t>3?</w:t>
      </w:r>
    </w:p>
    <w:p w14:paraId="4F1A54C8" w14:textId="4A41513A" w:rsidR="00CB4903" w:rsidRDefault="00CB4903" w:rsidP="00EA0C29">
      <w:pPr>
        <w:pStyle w:val="ParaLevel1"/>
        <w:numPr>
          <w:ilvl w:val="0"/>
          <w:numId w:val="19"/>
        </w:numPr>
      </w:pPr>
      <w:r>
        <w:t xml:space="preserve">Does York have </w:t>
      </w:r>
      <w:bookmarkStart w:id="2" w:name="_Int_02AEy7IT"/>
      <w:r>
        <w:t>jurisdiction</w:t>
      </w:r>
      <w:bookmarkEnd w:id="2"/>
      <w:r>
        <w:t xml:space="preserve"> to prosecute counts 4</w:t>
      </w:r>
      <w:r w:rsidR="00F50860">
        <w:t xml:space="preserve"> to </w:t>
      </w:r>
      <w:r>
        <w:t>7 by reason of satisfying the expediency test under section 222 of the LGA 1972?</w:t>
      </w:r>
    </w:p>
    <w:p w14:paraId="68949670" w14:textId="33F7E223" w:rsidR="00CB4903" w:rsidRDefault="00CB4903" w:rsidP="00EA0C29">
      <w:pPr>
        <w:pStyle w:val="ParaLevel1"/>
        <w:numPr>
          <w:ilvl w:val="0"/>
          <w:numId w:val="19"/>
        </w:numPr>
      </w:pPr>
      <w:r>
        <w:t xml:space="preserve">Does the Court have </w:t>
      </w:r>
      <w:bookmarkStart w:id="3" w:name="_Int_hiuHTTqN"/>
      <w:r>
        <w:t>jurisdiction</w:t>
      </w:r>
      <w:bookmarkEnd w:id="3"/>
      <w:r>
        <w:t xml:space="preserve"> to consider the substantive issue raised by </w:t>
      </w:r>
      <w:r w:rsidR="009A5510">
        <w:t>AQE</w:t>
      </w:r>
      <w:r>
        <w:t>’s cross appeal on reserved legal activity</w:t>
      </w:r>
      <w:r w:rsidR="020A4C50">
        <w:t xml:space="preserve"> and i</w:t>
      </w:r>
      <w:r>
        <w:t xml:space="preserve">f so, did the prosecutor engage in reserved legal activity under Part 3 of the Legal Services Act 2007 (“the LSA 2007”) so as to (a) render the </w:t>
      </w:r>
      <w:bookmarkStart w:id="4" w:name="_Int_rSyTWzef"/>
      <w:r>
        <w:t>indictment</w:t>
      </w:r>
      <w:bookmarkEnd w:id="4"/>
      <w:r>
        <w:t xml:space="preserve"> a nullity, or (b) result in an abuse of process?</w:t>
      </w:r>
    </w:p>
    <w:p w14:paraId="38BFB4DA" w14:textId="203E8431" w:rsidR="009D1792" w:rsidRDefault="00CB4903" w:rsidP="00EA0C29">
      <w:pPr>
        <w:pStyle w:val="ParaLevel1"/>
      </w:pPr>
      <w:r>
        <w:t>If the answer to the first issue is “yes</w:t>
      </w:r>
      <w:bookmarkStart w:id="5" w:name="_Int_dKwUs1SE"/>
      <w:r>
        <w:t>”,</w:t>
      </w:r>
      <w:bookmarkEnd w:id="5"/>
      <w:r>
        <w:t xml:space="preserve"> the fourth and fifth issues do not arise. The sixth issue only arises if, by whatever route, we were to conclude that York has </w:t>
      </w:r>
      <w:bookmarkStart w:id="6" w:name="_Int_XzHPVCqb"/>
      <w:r>
        <w:t>jurisdiction</w:t>
      </w:r>
      <w:bookmarkEnd w:id="6"/>
      <w:r>
        <w:t xml:space="preserve"> to prosecute the indicted offences.</w:t>
      </w:r>
    </w:p>
    <w:p w14:paraId="6EEDFF6E" w14:textId="0C4B113A" w:rsidR="00A80893" w:rsidRDefault="00834E4D" w:rsidP="00EA0C29">
      <w:pPr>
        <w:pStyle w:val="ParaLevel1"/>
      </w:pPr>
      <w:r>
        <w:t>We received written submissions on whether this judgment could be published in its current form.  All parties agreed that, with anonymisation of the defendants, that was appropriate.</w:t>
      </w:r>
    </w:p>
    <w:p w14:paraId="632F0D24" w14:textId="4EB9F54A" w:rsidR="00A80893" w:rsidRDefault="006C7DB2" w:rsidP="00EA0C29">
      <w:pPr>
        <w:pStyle w:val="ParaLevel1"/>
      </w:pPr>
      <w:r>
        <w:t xml:space="preserve">For present purposes all that need be stated </w:t>
      </w:r>
      <w:r w:rsidR="00FB611A">
        <w:t xml:space="preserve">about the features of </w:t>
      </w:r>
      <w:r w:rsidR="00314246">
        <w:t>the case</w:t>
      </w:r>
      <w:r w:rsidR="001C6CC1">
        <w:t>s</w:t>
      </w:r>
      <w:r w:rsidR="00314246">
        <w:t xml:space="preserve"> </w:t>
      </w:r>
      <w:r w:rsidR="00A77649">
        <w:t xml:space="preserve">is </w:t>
      </w:r>
      <w:r>
        <w:t xml:space="preserve">that the York </w:t>
      </w:r>
      <w:bookmarkStart w:id="7" w:name="_Int_VsGEEFB2"/>
      <w:r>
        <w:t>indictment</w:t>
      </w:r>
      <w:bookmarkEnd w:id="7"/>
      <w:r>
        <w:t xml:space="preserve"> alleges the offences of conspiracy to defraud, contrary to common law, and of money laundering, contrary to sections 327(1) and/or 328(1) of the Proceeds of Crime Act 2002 (“POCA 2002”). The Birmingham </w:t>
      </w:r>
      <w:bookmarkStart w:id="8" w:name="_Int_Yvgq5P3T"/>
      <w:r>
        <w:t>indictment</w:t>
      </w:r>
      <w:bookmarkEnd w:id="8"/>
      <w:r>
        <w:t xml:space="preserve"> alleges the offences of operating an unlicensed consumer credit business, contrary to section 39(1) of the </w:t>
      </w:r>
      <w:r>
        <w:lastRenderedPageBreak/>
        <w:t>Co</w:t>
      </w:r>
      <w:r w:rsidR="0009295B">
        <w:t>nsumer Credit Act</w:t>
      </w:r>
      <w:r>
        <w:t xml:space="preserve"> 1974</w:t>
      </w:r>
      <w:r w:rsidR="0009295B">
        <w:t xml:space="preserve"> (“the CCA 1974”)</w:t>
      </w:r>
      <w:r>
        <w:t xml:space="preserve">, </w:t>
      </w:r>
      <w:r w:rsidR="13347752">
        <w:t xml:space="preserve">of </w:t>
      </w:r>
      <w:r>
        <w:t>unauthorised moneylending, contrary to section 23(2) of FSMA 2000, and of money laundering, contrary to section 327(1) and/or 329(1) of POCA 2002.</w:t>
      </w:r>
    </w:p>
    <w:p w14:paraId="53196355" w14:textId="5DE198CF" w:rsidR="006C7DB2" w:rsidRPr="006C7DB2" w:rsidRDefault="006C7DB2" w:rsidP="00EA0C29">
      <w:pPr>
        <w:pStyle w:val="ParaLevel1"/>
        <w:numPr>
          <w:ilvl w:val="0"/>
          <w:numId w:val="0"/>
        </w:numPr>
        <w:rPr>
          <w:b/>
          <w:bCs/>
        </w:rPr>
      </w:pPr>
      <w:r w:rsidRPr="006C7DB2">
        <w:rPr>
          <w:b/>
          <w:bCs/>
        </w:rPr>
        <w:t>The First Issue: Meaning of Consumer Offences</w:t>
      </w:r>
    </w:p>
    <w:p w14:paraId="1192B9A7" w14:textId="628C76C7" w:rsidR="001B31B0" w:rsidRPr="001B31B0" w:rsidRDefault="006C7DB2" w:rsidP="00EA0C29">
      <w:pPr>
        <w:pStyle w:val="ParaLevel1"/>
        <w:numPr>
          <w:ilvl w:val="0"/>
          <w:numId w:val="0"/>
        </w:numPr>
        <w:rPr>
          <w:i/>
          <w:iCs/>
        </w:rPr>
      </w:pPr>
      <w:r>
        <w:rPr>
          <w:i/>
          <w:iCs/>
        </w:rPr>
        <w:t>Statutory Provisions</w:t>
      </w:r>
    </w:p>
    <w:p w14:paraId="25020DFF" w14:textId="535BBB5A" w:rsidR="006C7DB2" w:rsidRDefault="00454B26" w:rsidP="00EA0C29">
      <w:pPr>
        <w:pStyle w:val="ParaLevel1"/>
      </w:pPr>
      <w:r>
        <w:t>Paragraph 46 of schedule 5 to the CRA 2015 provides:</w:t>
      </w:r>
    </w:p>
    <w:p w14:paraId="5CCCB921" w14:textId="523D4D31" w:rsidR="00B01435" w:rsidRPr="00B01435" w:rsidRDefault="00454B26" w:rsidP="00EA0C29">
      <w:pPr>
        <w:pStyle w:val="Quote"/>
        <w:rPr>
          <w:szCs w:val="24"/>
          <w:lang w:eastAsia="en-GB"/>
        </w:rPr>
      </w:pPr>
      <w:r w:rsidRPr="00B01435">
        <w:rPr>
          <w:szCs w:val="24"/>
        </w:rPr>
        <w:t>“</w:t>
      </w:r>
      <w:r w:rsidR="00B01435" w:rsidRPr="00B01435">
        <w:rPr>
          <w:szCs w:val="24"/>
        </w:rPr>
        <w:t>4</w:t>
      </w:r>
      <w:r w:rsidR="00B01435" w:rsidRPr="00B01435">
        <w:rPr>
          <w:rStyle w:val="legds"/>
          <w:color w:val="000000"/>
          <w:szCs w:val="24"/>
        </w:rPr>
        <w:t>6(1)</w:t>
      </w:r>
      <w:r w:rsidR="00B01435">
        <w:rPr>
          <w:rStyle w:val="legds"/>
          <w:color w:val="000000"/>
          <w:szCs w:val="24"/>
        </w:rPr>
        <w:t xml:space="preserve"> </w:t>
      </w:r>
      <w:r w:rsidR="00B01435" w:rsidRPr="00B01435">
        <w:rPr>
          <w:rStyle w:val="legds"/>
          <w:color w:val="000000"/>
          <w:szCs w:val="24"/>
        </w:rPr>
        <w:t>A local weights and measures authority in England or Wales may bring proceedings for a consumer offence allegedly committed in a part of England or Wales which is outside that authority's area.</w:t>
      </w:r>
    </w:p>
    <w:p w14:paraId="34E721B9" w14:textId="14C738E1" w:rsidR="00B01435" w:rsidRPr="00B01435" w:rsidRDefault="00B01435" w:rsidP="00EA0C29">
      <w:pPr>
        <w:pStyle w:val="Quote"/>
        <w:rPr>
          <w:szCs w:val="24"/>
        </w:rPr>
      </w:pPr>
      <w:r w:rsidRPr="00B01435">
        <w:rPr>
          <w:rStyle w:val="legds"/>
          <w:color w:val="000000"/>
          <w:szCs w:val="24"/>
        </w:rPr>
        <w:t>(2)</w:t>
      </w:r>
      <w:r>
        <w:rPr>
          <w:rStyle w:val="legds"/>
          <w:color w:val="000000"/>
          <w:szCs w:val="24"/>
        </w:rPr>
        <w:t xml:space="preserve"> </w:t>
      </w:r>
      <w:r w:rsidRPr="00B01435">
        <w:rPr>
          <w:rStyle w:val="legds"/>
          <w:color w:val="000000"/>
          <w:szCs w:val="24"/>
        </w:rPr>
        <w:t>In sub-paragraph (1) “</w:t>
      </w:r>
      <w:r w:rsidRPr="00B01435">
        <w:rPr>
          <w:rStyle w:val="legterm"/>
          <w:color w:val="000000"/>
          <w:szCs w:val="24"/>
        </w:rPr>
        <w:t>a consumer offence</w:t>
      </w:r>
      <w:r w:rsidRPr="00B01435">
        <w:rPr>
          <w:rStyle w:val="legds"/>
          <w:color w:val="000000"/>
          <w:szCs w:val="24"/>
        </w:rPr>
        <w:t>” means—</w:t>
      </w:r>
    </w:p>
    <w:p w14:paraId="22057DEA" w14:textId="39DDCEAE" w:rsidR="00B01435" w:rsidRPr="00B01435" w:rsidRDefault="00B01435" w:rsidP="00EA0C29">
      <w:pPr>
        <w:pStyle w:val="Quote"/>
        <w:rPr>
          <w:szCs w:val="24"/>
        </w:rPr>
      </w:pPr>
      <w:r w:rsidRPr="00B01435">
        <w:rPr>
          <w:rStyle w:val="legds"/>
          <w:color w:val="000000"/>
          <w:szCs w:val="24"/>
        </w:rPr>
        <w:t>(a)</w:t>
      </w:r>
      <w:r>
        <w:rPr>
          <w:rStyle w:val="legds"/>
          <w:color w:val="000000"/>
          <w:szCs w:val="24"/>
        </w:rPr>
        <w:t xml:space="preserve"> </w:t>
      </w:r>
      <w:r w:rsidRPr="00B01435">
        <w:rPr>
          <w:rStyle w:val="legds"/>
          <w:color w:val="000000"/>
          <w:szCs w:val="24"/>
        </w:rPr>
        <w:t>an offence under legislation which, by virtue of a provision listed in paragraph 10 of this Schedule, a local weights and measures authority in England or Wales has a duty or power to enforce,</w:t>
      </w:r>
    </w:p>
    <w:p w14:paraId="47BC4D54" w14:textId="0D4EB2DE" w:rsidR="00B01435" w:rsidRPr="00B01435" w:rsidRDefault="00B01435" w:rsidP="00EA0C29">
      <w:pPr>
        <w:pStyle w:val="Quote"/>
        <w:rPr>
          <w:szCs w:val="24"/>
        </w:rPr>
      </w:pPr>
      <w:r w:rsidRPr="00B01435">
        <w:rPr>
          <w:rStyle w:val="legds"/>
          <w:color w:val="000000"/>
          <w:szCs w:val="24"/>
        </w:rPr>
        <w:t>(b)</w:t>
      </w:r>
      <w:r>
        <w:rPr>
          <w:rStyle w:val="legds"/>
          <w:color w:val="000000"/>
          <w:szCs w:val="24"/>
        </w:rPr>
        <w:t xml:space="preserve"> </w:t>
      </w:r>
      <w:r w:rsidRPr="00B01435">
        <w:rPr>
          <w:rStyle w:val="legds"/>
          <w:color w:val="000000"/>
          <w:szCs w:val="24"/>
        </w:rPr>
        <w:t>an offence under legislation under which legislation within paragraph (a) is made,</w:t>
      </w:r>
    </w:p>
    <w:p w14:paraId="1DEF68C2" w14:textId="1F30B755" w:rsidR="00B01435" w:rsidRPr="00B01435" w:rsidRDefault="00B01435" w:rsidP="00EA0C29">
      <w:pPr>
        <w:pStyle w:val="Quote"/>
        <w:rPr>
          <w:szCs w:val="24"/>
        </w:rPr>
      </w:pPr>
      <w:r w:rsidRPr="00B01435">
        <w:rPr>
          <w:rStyle w:val="legds"/>
          <w:color w:val="000000"/>
          <w:szCs w:val="24"/>
        </w:rPr>
        <w:t>(c)</w:t>
      </w:r>
      <w:r>
        <w:rPr>
          <w:rStyle w:val="legds"/>
          <w:color w:val="000000"/>
          <w:szCs w:val="24"/>
        </w:rPr>
        <w:t xml:space="preserve"> </w:t>
      </w:r>
      <w:r w:rsidRPr="00B01435">
        <w:rPr>
          <w:rStyle w:val="legds"/>
          <w:color w:val="000000"/>
          <w:szCs w:val="24"/>
        </w:rPr>
        <w:t>an offence under legislation listed in the second column of the table in paragraph 11 of this Schedule in relation to which a local weights and measures authority is listed in the corresponding entry in the first column of the table as an enforcer,</w:t>
      </w:r>
    </w:p>
    <w:p w14:paraId="04929AC5" w14:textId="2AF5F2B3" w:rsidR="00B01435" w:rsidRPr="00B01435" w:rsidRDefault="00B01435" w:rsidP="00EA0C29">
      <w:pPr>
        <w:pStyle w:val="Quote"/>
        <w:rPr>
          <w:szCs w:val="24"/>
        </w:rPr>
      </w:pPr>
      <w:r w:rsidRPr="00B01435">
        <w:rPr>
          <w:rStyle w:val="legds"/>
          <w:color w:val="000000"/>
          <w:szCs w:val="24"/>
        </w:rPr>
        <w:t>(d)</w:t>
      </w:r>
      <w:r>
        <w:rPr>
          <w:rStyle w:val="legds"/>
          <w:color w:val="000000"/>
          <w:szCs w:val="24"/>
        </w:rPr>
        <w:t xml:space="preserve"> </w:t>
      </w:r>
      <w:r w:rsidRPr="00B01435">
        <w:rPr>
          <w:rStyle w:val="legds"/>
          <w:color w:val="000000"/>
          <w:szCs w:val="24"/>
        </w:rPr>
        <w:t>an offence originating from an investigation into a breach of legislation mentioned in paragraph (a), (b) or (c), or</w:t>
      </w:r>
    </w:p>
    <w:p w14:paraId="6A0B9CCE" w14:textId="54C04930" w:rsidR="00454B26" w:rsidRDefault="00B01435" w:rsidP="00EA0C29">
      <w:pPr>
        <w:pStyle w:val="Quote"/>
        <w:rPr>
          <w:szCs w:val="24"/>
        </w:rPr>
      </w:pPr>
      <w:r w:rsidRPr="00B01435">
        <w:rPr>
          <w:rStyle w:val="legds"/>
          <w:color w:val="000000"/>
          <w:szCs w:val="24"/>
        </w:rPr>
        <w:t>(e)</w:t>
      </w:r>
      <w:r>
        <w:rPr>
          <w:rStyle w:val="legds"/>
          <w:color w:val="000000"/>
          <w:szCs w:val="24"/>
        </w:rPr>
        <w:t xml:space="preserve"> </w:t>
      </w:r>
      <w:r w:rsidRPr="00B01435">
        <w:rPr>
          <w:rStyle w:val="legds"/>
          <w:color w:val="000000"/>
          <w:szCs w:val="24"/>
        </w:rPr>
        <w:t>an offence described in paragraph 36 or 37 of this Schedule.</w:t>
      </w:r>
      <w:r w:rsidR="00454B26" w:rsidRPr="00B01435">
        <w:rPr>
          <w:szCs w:val="24"/>
        </w:rPr>
        <w:t>”</w:t>
      </w:r>
    </w:p>
    <w:p w14:paraId="6EAD1790" w14:textId="43F47845" w:rsidR="00F44DAB" w:rsidRDefault="00F44DAB" w:rsidP="00EA0C29">
      <w:pPr>
        <w:pStyle w:val="ParaLevel1"/>
      </w:pPr>
      <w:r>
        <w:t>The offences under sub-paragraphs (a) to (c) do not include conspiracy to defraud and money laundering</w:t>
      </w:r>
      <w:r w:rsidR="00753875">
        <w:t>.</w:t>
      </w:r>
      <w:r w:rsidR="65196191">
        <w:t xml:space="preserve"> </w:t>
      </w:r>
      <w:r w:rsidR="00622BCA">
        <w:t>They</w:t>
      </w:r>
      <w:r w:rsidR="00753875">
        <w:t xml:space="preserve"> d</w:t>
      </w:r>
      <w:r>
        <w:t>o not fall under sub-paragraph (e)</w:t>
      </w:r>
      <w:r w:rsidR="00753875">
        <w:t xml:space="preserve"> because paragraph 36 covers offences of intentionally obstructing an officer, withholding </w:t>
      </w:r>
      <w:bookmarkStart w:id="9" w:name="_Int_csubuHVX"/>
      <w:r w:rsidR="00753875">
        <w:t>information</w:t>
      </w:r>
      <w:bookmarkEnd w:id="9"/>
      <w:r w:rsidR="00753875">
        <w:t xml:space="preserve"> and giving materially false information, and paragraph 37 creates an offence of purporting to act as an officer. It follows that, for conspiracy to defraud and money laundering to be within the scope of paragraph 46(2), the only viable candidate is sub-paragraph (d).</w:t>
      </w:r>
    </w:p>
    <w:p w14:paraId="677EF062" w14:textId="1871335A" w:rsidR="00753875" w:rsidRDefault="00753875" w:rsidP="00EA0C29">
      <w:pPr>
        <w:pStyle w:val="ParaLevel1"/>
      </w:pPr>
      <w:r>
        <w:t>There was some discussion as to whether “an offence” means the completed offence in the sense that it must be prov</w:t>
      </w:r>
      <w:r w:rsidR="00A77649">
        <w:t>ed</w:t>
      </w:r>
      <w:r>
        <w:t xml:space="preserve"> to have taken place. In our judgment, paragraph 46(2) </w:t>
      </w:r>
      <w:r w:rsidR="00A77649">
        <w:t>serves to</w:t>
      </w:r>
      <w:r>
        <w:t xml:space="preserve"> identify offences with reference to a list (sub-paragraphs (a), (b), (c) and (e)) or in terms of possessing certain defining features. In context, the power to </w:t>
      </w:r>
      <w:r w:rsidR="00014B5D">
        <w:t>investigate</w:t>
      </w:r>
      <w:r>
        <w:t xml:space="preserve"> is triggered if the offence in question </w:t>
      </w:r>
      <w:r w:rsidR="00014B5D">
        <w:t xml:space="preserve">is suspected, and the power to prosecute may arise if the local authority </w:t>
      </w:r>
      <w:r w:rsidR="00A77649">
        <w:t>determine</w:t>
      </w:r>
      <w:r w:rsidR="00014B5D">
        <w:t>s</w:t>
      </w:r>
      <w:r w:rsidR="00A77649">
        <w:t xml:space="preserve"> both that sufficient evidence exists to warrant proceeding and that it is in the public interest to do so. </w:t>
      </w:r>
    </w:p>
    <w:p w14:paraId="6FC48EED" w14:textId="0FC07AE8" w:rsidR="00B01435" w:rsidRDefault="00753875" w:rsidP="00EA0C29">
      <w:pPr>
        <w:pStyle w:val="ParaLevel1"/>
      </w:pPr>
      <w:r>
        <w:lastRenderedPageBreak/>
        <w:t xml:space="preserve">The point was made on behalf of the </w:t>
      </w:r>
      <w:r w:rsidR="002023FC">
        <w:t>r</w:t>
      </w:r>
      <w:r>
        <w:t xml:space="preserve">espondents that the CRA 2015 is a consolidating Act. That may be true of </w:t>
      </w:r>
      <w:r w:rsidR="00010759">
        <w:t xml:space="preserve">certain of its provisions, as the Explanatory Notes make clear, but paragraph 46 of schedule 5 is an entirely new provision. </w:t>
      </w:r>
      <w:r w:rsidR="00AB5AEF">
        <w:t>T</w:t>
      </w:r>
      <w:r w:rsidR="00010759">
        <w:t xml:space="preserve">he intention behind it </w:t>
      </w:r>
      <w:r w:rsidR="00B01435">
        <w:t>was to free the prosecution of consumer offences from the constraints of requiring those responsible to satisfy the requirement of local expediency under section 222 of the LGA 1972.</w:t>
      </w:r>
    </w:p>
    <w:p w14:paraId="657FE450" w14:textId="134182A4" w:rsidR="001B31B0" w:rsidRDefault="009F787F" w:rsidP="00EA0C29">
      <w:pPr>
        <w:pStyle w:val="ParaLevel1"/>
      </w:pPr>
      <w:r>
        <w:t>This part of the CRA 2015 also reflected the enhanced role of local weights and measures authorities</w:t>
      </w:r>
      <w:r w:rsidR="00A77649">
        <w:t xml:space="preserve"> </w:t>
      </w:r>
      <w:r>
        <w:t xml:space="preserve">in view of what has been described by Government as “new and emerging trading environments”. </w:t>
      </w:r>
      <w:r w:rsidR="00A77649">
        <w:t>By way of example, t</w:t>
      </w:r>
      <w:r>
        <w:t>he House of Commons Report published in 2010, leading to the enactment of the CRA 2015, referred to</w:t>
      </w:r>
      <w:r w:rsidR="001B31B0">
        <w:t>:</w:t>
      </w:r>
    </w:p>
    <w:p w14:paraId="067D89E7" w14:textId="1F115DCD" w:rsidR="00AE1AB2" w:rsidRDefault="001B31B0" w:rsidP="00EA0C29">
      <w:pPr>
        <w:pStyle w:val="Quote"/>
      </w:pPr>
      <w:r>
        <w:t>“pressure selling … [and] mass market scams, counterfeiting, … [and] new forms of scams such as credit card fraud, chip and pin fraud, and e-mail scams [which] are constantly changing and evolving.”</w:t>
      </w:r>
    </w:p>
    <w:p w14:paraId="67D53447" w14:textId="3E5B5233" w:rsidR="00010759" w:rsidRDefault="00010759" w:rsidP="00EA0C29">
      <w:pPr>
        <w:pStyle w:val="ParaLevel1"/>
      </w:pPr>
      <w:r>
        <w:t>No doubt Parliament had in mind the obvious consideration that consumer</w:t>
      </w:r>
      <w:r w:rsidR="00014B5D">
        <w:t xml:space="preserve"> “scams” could constitute a wide range of offending, not all of which has been specifically itemised in what was to become schedule 5</w:t>
      </w:r>
      <w:r>
        <w:t xml:space="preserve">. </w:t>
      </w:r>
    </w:p>
    <w:p w14:paraId="19900D27" w14:textId="1F1AAB1D" w:rsidR="005C4376" w:rsidRPr="005C4376" w:rsidRDefault="005C4376" w:rsidP="00EA0C29">
      <w:pPr>
        <w:pStyle w:val="ParaLevel1"/>
        <w:numPr>
          <w:ilvl w:val="0"/>
          <w:numId w:val="0"/>
        </w:numPr>
        <w:ind w:left="720" w:hanging="720"/>
        <w:rPr>
          <w:i/>
          <w:iCs/>
        </w:rPr>
      </w:pPr>
      <w:r w:rsidRPr="005C4376">
        <w:rPr>
          <w:i/>
          <w:iCs/>
        </w:rPr>
        <w:t>The Judgments</w:t>
      </w:r>
    </w:p>
    <w:p w14:paraId="118FFA1F" w14:textId="1B268022" w:rsidR="005C4376" w:rsidRDefault="005C4376" w:rsidP="00EA0C29">
      <w:pPr>
        <w:pStyle w:val="ParaLevel1"/>
        <w:rPr>
          <w:szCs w:val="24"/>
        </w:rPr>
      </w:pPr>
      <w:r w:rsidRPr="005C4376">
        <w:rPr>
          <w:szCs w:val="24"/>
        </w:rPr>
        <w:t xml:space="preserve">It </w:t>
      </w:r>
      <w:r>
        <w:rPr>
          <w:szCs w:val="24"/>
        </w:rPr>
        <w:t xml:space="preserve">is </w:t>
      </w:r>
      <w:r w:rsidRPr="005C4376">
        <w:rPr>
          <w:szCs w:val="24"/>
        </w:rPr>
        <w:t>common ground in both cases that the indicted offences were discovered by relevant investigations into consumer breaches</w:t>
      </w:r>
      <w:r w:rsidR="00E7067B">
        <w:rPr>
          <w:szCs w:val="24"/>
        </w:rPr>
        <w:t>: in York, of the Consumer Protection from Unfair Trading Regulations 2008</w:t>
      </w:r>
      <w:r w:rsidR="00014B5D">
        <w:rPr>
          <w:szCs w:val="24"/>
        </w:rPr>
        <w:t xml:space="preserve"> (“the </w:t>
      </w:r>
      <w:r w:rsidR="001E2E1A">
        <w:rPr>
          <w:szCs w:val="24"/>
        </w:rPr>
        <w:t>Unfair Trading Regulations</w:t>
      </w:r>
      <w:r w:rsidR="00014B5D">
        <w:rPr>
          <w:szCs w:val="24"/>
        </w:rPr>
        <w:t>”)</w:t>
      </w:r>
      <w:r w:rsidR="00A77649">
        <w:rPr>
          <w:szCs w:val="24"/>
        </w:rPr>
        <w:t>;</w:t>
      </w:r>
      <w:r w:rsidR="00E7067B">
        <w:rPr>
          <w:szCs w:val="24"/>
        </w:rPr>
        <w:t xml:space="preserve"> and in Birmingham, of section 161 of the C</w:t>
      </w:r>
      <w:r w:rsidR="0009295B">
        <w:rPr>
          <w:szCs w:val="24"/>
        </w:rPr>
        <w:t>CA</w:t>
      </w:r>
      <w:r w:rsidR="00E7067B">
        <w:rPr>
          <w:szCs w:val="24"/>
        </w:rPr>
        <w:t xml:space="preserve"> 1974</w:t>
      </w:r>
      <w:r w:rsidRPr="005C4376">
        <w:rPr>
          <w:szCs w:val="24"/>
        </w:rPr>
        <w:t>.</w:t>
      </w:r>
      <w:r w:rsidR="00E7067B">
        <w:rPr>
          <w:szCs w:val="24"/>
        </w:rPr>
        <w:t xml:space="preserve"> </w:t>
      </w:r>
      <w:r w:rsidRPr="005C4376">
        <w:rPr>
          <w:szCs w:val="24"/>
        </w:rPr>
        <w:t xml:space="preserve">At first instance, both York and Birmingham proposed a broad interpretation of </w:t>
      </w:r>
      <w:r>
        <w:rPr>
          <w:szCs w:val="24"/>
        </w:rPr>
        <w:t>paragraph 46 of schedule 5</w:t>
      </w:r>
      <w:r w:rsidRPr="005C4376">
        <w:rPr>
          <w:szCs w:val="24"/>
        </w:rPr>
        <w:t xml:space="preserve">: any offence </w:t>
      </w:r>
      <w:r w:rsidRPr="005C4376">
        <w:rPr>
          <w:i/>
          <w:iCs/>
          <w:szCs w:val="24"/>
        </w:rPr>
        <w:t>disclosed by</w:t>
      </w:r>
      <w:r w:rsidRPr="005C4376">
        <w:rPr>
          <w:szCs w:val="24"/>
        </w:rPr>
        <w:t xml:space="preserve"> an investigation qualifies. The defendants </w:t>
      </w:r>
      <w:r w:rsidR="002A0E70">
        <w:rPr>
          <w:szCs w:val="24"/>
        </w:rPr>
        <w:t>p</w:t>
      </w:r>
      <w:r w:rsidRPr="005C4376">
        <w:rPr>
          <w:szCs w:val="24"/>
        </w:rPr>
        <w:t>r</w:t>
      </w:r>
      <w:r w:rsidR="002A0E70">
        <w:rPr>
          <w:szCs w:val="24"/>
        </w:rPr>
        <w:t>op</w:t>
      </w:r>
      <w:r w:rsidR="00B27A57">
        <w:rPr>
          <w:szCs w:val="24"/>
        </w:rPr>
        <w:t>o</w:t>
      </w:r>
      <w:r w:rsidRPr="005C4376">
        <w:rPr>
          <w:szCs w:val="24"/>
        </w:rPr>
        <w:t xml:space="preserve">sed a narrower construction: only offences </w:t>
      </w:r>
      <w:r w:rsidRPr="005C4376">
        <w:rPr>
          <w:i/>
          <w:iCs/>
          <w:szCs w:val="24"/>
        </w:rPr>
        <w:t>connected to the conduct</w:t>
      </w:r>
      <w:r w:rsidRPr="005C4376">
        <w:rPr>
          <w:szCs w:val="24"/>
        </w:rPr>
        <w:t xml:space="preserve"> of an investigation – that is, public justice offences committed against the investigation – suffice.</w:t>
      </w:r>
    </w:p>
    <w:p w14:paraId="7417E9E1" w14:textId="4C501E7D" w:rsidR="005C4376" w:rsidRPr="005C4376" w:rsidRDefault="005C4376" w:rsidP="00EA0C29">
      <w:pPr>
        <w:pStyle w:val="ParaLevel1"/>
        <w:rPr>
          <w:szCs w:val="24"/>
        </w:rPr>
      </w:pPr>
      <w:r w:rsidRPr="005C4376">
        <w:t>In the York case HHJ Burn favoured the defendants’ narrower interpretation of paragraph 46(2)(d)</w:t>
      </w:r>
      <w:r w:rsidR="00207842">
        <w:t>,</w:t>
      </w:r>
      <w:r w:rsidRPr="005C4376">
        <w:t xml:space="preserve"> for three reasons.</w:t>
      </w:r>
    </w:p>
    <w:p w14:paraId="528709AD" w14:textId="71F415D6" w:rsidR="005C4376" w:rsidRDefault="005C4376" w:rsidP="00EA0C29">
      <w:pPr>
        <w:pStyle w:val="ParaLevel1"/>
        <w:numPr>
          <w:ilvl w:val="0"/>
          <w:numId w:val="22"/>
        </w:numPr>
      </w:pPr>
      <w:r>
        <w:t>It best reflects the ordinary sense of the words “originate from</w:t>
      </w:r>
      <w:bookmarkStart w:id="10" w:name="_Int_fbeLcAAZ"/>
      <w:r>
        <w:t>”,</w:t>
      </w:r>
      <w:bookmarkEnd w:id="10"/>
      <w:r>
        <w:t xml:space="preserve"> which according to the </w:t>
      </w:r>
      <w:r w:rsidRPr="1540DD9B">
        <w:rPr>
          <w:i/>
          <w:iCs/>
        </w:rPr>
        <w:t>OED</w:t>
      </w:r>
      <w:r>
        <w:t xml:space="preserve"> mean </w:t>
      </w:r>
      <w:r w:rsidRPr="1540DD9B">
        <w:rPr>
          <w:i/>
          <w:iCs/>
        </w:rPr>
        <w:t>have as its origin</w:t>
      </w:r>
      <w:r>
        <w:t>. The offence must be generated, not merely revealed, by the investigation. This can only be the case if it relates to the conduct of the investigation.</w:t>
      </w:r>
    </w:p>
    <w:p w14:paraId="1009F9F2" w14:textId="38BF64B1" w:rsidR="005C4376" w:rsidRDefault="005C4376" w:rsidP="00EA0C29">
      <w:pPr>
        <w:pStyle w:val="ParaLevel1"/>
        <w:numPr>
          <w:ilvl w:val="0"/>
          <w:numId w:val="22"/>
        </w:numPr>
        <w:rPr>
          <w:szCs w:val="24"/>
        </w:rPr>
      </w:pPr>
      <w:r>
        <w:rPr>
          <w:szCs w:val="24"/>
        </w:rPr>
        <w:t>T</w:t>
      </w:r>
      <w:r w:rsidRPr="005C4376">
        <w:rPr>
          <w:szCs w:val="24"/>
        </w:rPr>
        <w:t>he broader reading would undermine the logic and coherence of paragraph 46(2). If any offence disclosed by a consumer investigation qualifies, why not replace (a)</w:t>
      </w:r>
      <w:r w:rsidR="00CB3167">
        <w:rPr>
          <w:szCs w:val="24"/>
        </w:rPr>
        <w:t xml:space="preserve"> to </w:t>
      </w:r>
      <w:r w:rsidRPr="005C4376">
        <w:rPr>
          <w:szCs w:val="24"/>
        </w:rPr>
        <w:t>(d) with a single definition such as “any offence disclosed by an investigation into offences listed in…”? Since the kinds of offences disclosed by consumer investigations would typically fall under (a)</w:t>
      </w:r>
      <w:r w:rsidR="00CB3167">
        <w:rPr>
          <w:szCs w:val="24"/>
        </w:rPr>
        <w:t xml:space="preserve"> to </w:t>
      </w:r>
      <w:r w:rsidRPr="005C4376">
        <w:rPr>
          <w:szCs w:val="24"/>
        </w:rPr>
        <w:t xml:space="preserve">(c) anyway, why not refer in (d) to “any </w:t>
      </w:r>
      <w:r w:rsidRPr="005C4376">
        <w:rPr>
          <w:i/>
          <w:iCs/>
          <w:szCs w:val="24"/>
        </w:rPr>
        <w:t>other</w:t>
      </w:r>
      <w:r w:rsidRPr="005C4376">
        <w:rPr>
          <w:szCs w:val="24"/>
        </w:rPr>
        <w:t xml:space="preserve"> offence” to avoid duplication? And if the power granted by (d) really is so far-reaching, surely it warrants its own sub-paragraph separate to 46(2)?</w:t>
      </w:r>
    </w:p>
    <w:p w14:paraId="166E0DBD" w14:textId="16AF411C" w:rsidR="005C4376" w:rsidRPr="005C4376" w:rsidRDefault="005C4376" w:rsidP="00EA0C29">
      <w:pPr>
        <w:pStyle w:val="ParaLevel1"/>
        <w:numPr>
          <w:ilvl w:val="0"/>
          <w:numId w:val="22"/>
        </w:numPr>
      </w:pPr>
      <w:r>
        <w:t xml:space="preserve">The broader reading would have the unpalatable consequence of transforming local authorities into national prosecution services capable of charging any offence across England and Wales – even murder – so long as the offence was discovered </w:t>
      </w:r>
      <w:bookmarkStart w:id="11" w:name="_Int_fHBtRQra"/>
      <w:r>
        <w:t xml:space="preserve">in the </w:t>
      </w:r>
      <w:r>
        <w:lastRenderedPageBreak/>
        <w:t>course of</w:t>
      </w:r>
      <w:bookmarkEnd w:id="11"/>
      <w:r>
        <w:t xml:space="preserve"> a consumer investigation. This absurd and alarming arrangement would be inconsistent with the National Trading Standard’s devolved regional structure.</w:t>
      </w:r>
    </w:p>
    <w:p w14:paraId="1BCC23EA" w14:textId="4682354D" w:rsidR="005C4376" w:rsidRPr="0038217B" w:rsidRDefault="005C4376" w:rsidP="00EA0C29">
      <w:pPr>
        <w:pStyle w:val="ParaLevel1"/>
        <w:rPr>
          <w:szCs w:val="24"/>
        </w:rPr>
      </w:pPr>
      <w:r w:rsidRPr="0038217B">
        <w:t>In the Birmingham case, however, HHJ Southern favoured the broader construction, also for three reasons.</w:t>
      </w:r>
    </w:p>
    <w:p w14:paraId="0C439262" w14:textId="6E9E2D55" w:rsidR="0038217B" w:rsidRDefault="0038217B" w:rsidP="00EA0C29">
      <w:pPr>
        <w:pStyle w:val="ParaLevel1"/>
        <w:numPr>
          <w:ilvl w:val="0"/>
          <w:numId w:val="23"/>
        </w:numPr>
        <w:rPr>
          <w:szCs w:val="24"/>
        </w:rPr>
      </w:pPr>
      <w:r>
        <w:rPr>
          <w:szCs w:val="24"/>
        </w:rPr>
        <w:t>C</w:t>
      </w:r>
      <w:r w:rsidRPr="005C4376">
        <w:rPr>
          <w:szCs w:val="24"/>
        </w:rPr>
        <w:t>ontrary to</w:t>
      </w:r>
      <w:r w:rsidR="00207842">
        <w:rPr>
          <w:szCs w:val="24"/>
        </w:rPr>
        <w:t xml:space="preserve"> the narrow</w:t>
      </w:r>
      <w:r w:rsidRPr="005C4376">
        <w:rPr>
          <w:szCs w:val="24"/>
        </w:rPr>
        <w:t xml:space="preserve"> linguistic analysis, any offence discovered by an investigation does </w:t>
      </w:r>
      <w:r w:rsidRPr="005C4376">
        <w:rPr>
          <w:i/>
          <w:iCs/>
          <w:szCs w:val="24"/>
        </w:rPr>
        <w:t>have its origins in</w:t>
      </w:r>
      <w:r w:rsidRPr="005C4376">
        <w:rPr>
          <w:szCs w:val="24"/>
        </w:rPr>
        <w:t xml:space="preserve"> that investigation. This is because the impugned conduct only becomes regarded as an “offence” under the investigative glare. Thus the “offence” is spawned by the investigation.</w:t>
      </w:r>
    </w:p>
    <w:p w14:paraId="1B01CF02" w14:textId="746F8E52" w:rsidR="0038217B" w:rsidRDefault="0038217B" w:rsidP="00EA0C29">
      <w:pPr>
        <w:pStyle w:val="ParaLevel1"/>
        <w:numPr>
          <w:ilvl w:val="0"/>
          <w:numId w:val="23"/>
        </w:numPr>
        <w:rPr>
          <w:szCs w:val="24"/>
        </w:rPr>
      </w:pPr>
      <w:r>
        <w:rPr>
          <w:szCs w:val="24"/>
        </w:rPr>
        <w:t>T</w:t>
      </w:r>
      <w:r w:rsidRPr="005C4376">
        <w:rPr>
          <w:szCs w:val="24"/>
        </w:rPr>
        <w:t>he addition of subparagraph (d) to subparagraphs (a)</w:t>
      </w:r>
      <w:r w:rsidR="00CB3167">
        <w:rPr>
          <w:szCs w:val="24"/>
        </w:rPr>
        <w:t xml:space="preserve"> to </w:t>
      </w:r>
      <w:r w:rsidRPr="005C4376">
        <w:rPr>
          <w:szCs w:val="24"/>
        </w:rPr>
        <w:t>(c) evinces a deliberate intention to include offences which would not otherwise typically fall under a consumer investigation.</w:t>
      </w:r>
    </w:p>
    <w:p w14:paraId="50367B9A" w14:textId="4F8D3F84" w:rsidR="0038217B" w:rsidRDefault="0038217B" w:rsidP="00EA0C29">
      <w:pPr>
        <w:pStyle w:val="ParaLevel1"/>
        <w:numPr>
          <w:ilvl w:val="0"/>
          <w:numId w:val="23"/>
        </w:numPr>
        <w:rPr>
          <w:szCs w:val="24"/>
        </w:rPr>
      </w:pPr>
      <w:r>
        <w:rPr>
          <w:szCs w:val="24"/>
        </w:rPr>
        <w:t>M</w:t>
      </w:r>
      <w:r w:rsidRPr="005C4376">
        <w:rPr>
          <w:szCs w:val="24"/>
        </w:rPr>
        <w:t>oney laundering flows so naturally from many consumer offences that it would be absurd to suppose that Parliament intended to empower local authorities to prosecute the offences listed under subparagraphs (a)</w:t>
      </w:r>
      <w:r w:rsidR="00CF6289">
        <w:rPr>
          <w:szCs w:val="24"/>
        </w:rPr>
        <w:t xml:space="preserve"> to </w:t>
      </w:r>
      <w:r w:rsidRPr="005C4376">
        <w:rPr>
          <w:szCs w:val="24"/>
        </w:rPr>
        <w:t>(c) while leaving them impotent in respect of any ancillary laundering of the proceeds.</w:t>
      </w:r>
    </w:p>
    <w:p w14:paraId="683E8DB7" w14:textId="489CA8FF" w:rsidR="0038217B" w:rsidRPr="0038217B" w:rsidRDefault="0038217B" w:rsidP="00EA0C29">
      <w:pPr>
        <w:pStyle w:val="ParaLevel1"/>
        <w:numPr>
          <w:ilvl w:val="0"/>
          <w:numId w:val="0"/>
        </w:numPr>
        <w:ind w:left="720" w:hanging="720"/>
        <w:rPr>
          <w:i/>
          <w:iCs/>
          <w:szCs w:val="24"/>
        </w:rPr>
      </w:pPr>
      <w:r>
        <w:rPr>
          <w:i/>
          <w:iCs/>
          <w:szCs w:val="24"/>
        </w:rPr>
        <w:t>The Arguments</w:t>
      </w:r>
    </w:p>
    <w:p w14:paraId="123C3AED" w14:textId="190F8AC0" w:rsidR="006A6347" w:rsidRPr="006A6347" w:rsidRDefault="006A6347" w:rsidP="00EA0C29">
      <w:pPr>
        <w:pStyle w:val="ParaLevel1"/>
      </w:pPr>
      <w:r>
        <w:t xml:space="preserve">Mr Jonathan Kirk KC for York refined the submission that he had advanced at first instance and contended that paragraph 46(2)(d) should be construed “as applying to an offence originating from the consumer breaches that were investigated”. In other words, an offence falls within the meaning of the provision if it “originates from” the </w:t>
      </w:r>
      <w:r w:rsidRPr="1540DD9B">
        <w:rPr>
          <w:i/>
          <w:iCs/>
        </w:rPr>
        <w:t>subject matter</w:t>
      </w:r>
      <w:r>
        <w:t xml:space="preserve"> rather than the </w:t>
      </w:r>
      <w:r w:rsidRPr="1540DD9B">
        <w:rPr>
          <w:i/>
          <w:iCs/>
        </w:rPr>
        <w:t>conduct</w:t>
      </w:r>
      <w:r>
        <w:t xml:space="preserve"> of a relevant investigation. This construction is achieved by reading the words “investigation into a breach” to include the factual circumstances under investigation. Mr Kirk submitted that this interpretation accords with the purpose of the provision identified in the pre-legislative materials</w:t>
      </w:r>
      <w:r w:rsidR="00DF570B">
        <w:t xml:space="preserve">. That </w:t>
      </w:r>
      <w:r>
        <w:t xml:space="preserve">is to tackle national consumer </w:t>
      </w:r>
      <w:bookmarkStart w:id="12" w:name="_Int_V4se8tGq"/>
      <w:r>
        <w:t>scams</w:t>
      </w:r>
      <w:bookmarkEnd w:id="12"/>
      <w:r>
        <w:t xml:space="preserve"> and fraud. </w:t>
      </w:r>
      <w:r w:rsidR="00F62B6F">
        <w:t>He submitted that</w:t>
      </w:r>
      <w:r>
        <w:t xml:space="preserve"> it seems inconceivable that Parliament intended to exclude consumer-oriented fraud and money laundering from the ambit of paragraph 46. Mr Kirk further argued that HHJ Burn’s narrow interpretation is inconsistent with the drafting of paragraph 46. Subparagraph (2)(d) would be otiose if confined to offences committed in obstruction of an investigation, since subparagraph (2)(e) already designates the obstruction offences listed in paragraphs 36 and 37 of </w:t>
      </w:r>
      <w:r w:rsidR="00207842">
        <w:t>s</w:t>
      </w:r>
      <w:r>
        <w:t>chedule 5 as “consumer offences”.</w:t>
      </w:r>
    </w:p>
    <w:p w14:paraId="3151250F" w14:textId="44B4350B" w:rsidR="006A6347" w:rsidRPr="00410F57" w:rsidRDefault="006A6347" w:rsidP="00EA0C29">
      <w:pPr>
        <w:pStyle w:val="ParaLevel1"/>
      </w:pPr>
      <w:r>
        <w:t>Mr Richard Barraclough KC for Birmingham adhered to the slightly broader approach that was advanced below, contending that HHJ Southern’s judgment was “impeccable”</w:t>
      </w:r>
      <w:r w:rsidR="00E7067B">
        <w:t xml:space="preserve"> in all material respects</w:t>
      </w:r>
      <w:r>
        <w:t xml:space="preserve">. </w:t>
      </w:r>
      <w:r w:rsidR="00E7067B">
        <w:t xml:space="preserve">Thus, further offences discovered </w:t>
      </w:r>
      <w:bookmarkStart w:id="13" w:name="_Int_0MJRvJsC"/>
      <w:r w:rsidR="00E7067B">
        <w:t>during the course of</w:t>
      </w:r>
      <w:bookmarkEnd w:id="13"/>
      <w:r w:rsidR="00E7067B">
        <w:t xml:space="preserve"> a relevant investigation were </w:t>
      </w:r>
      <w:r w:rsidR="00207842">
        <w:t>encompassed</w:t>
      </w:r>
      <w:r w:rsidR="00E7067B">
        <w:t xml:space="preserve"> by the sub-paragraph. Mr Barraclough’s</w:t>
      </w:r>
      <w:r>
        <w:t xml:space="preserve"> emphasis was on criminal conduct “inextricably linked to” or “derived from” consumer offending</w:t>
      </w:r>
      <w:r w:rsidR="00E7067B">
        <w:t xml:space="preserve">. </w:t>
      </w:r>
      <w:r>
        <w:t xml:space="preserve">Many of the same arguments </w:t>
      </w:r>
      <w:r w:rsidR="00207842">
        <w:t>we</w:t>
      </w:r>
      <w:r>
        <w:t xml:space="preserve">re marshalled against a narrow reading of </w:t>
      </w:r>
      <w:r w:rsidR="00E7067B">
        <w:t>the provision</w:t>
      </w:r>
      <w:r>
        <w:t xml:space="preserve">. </w:t>
      </w:r>
      <w:r w:rsidR="00E7067B">
        <w:t>Mr Barraclough</w:t>
      </w:r>
      <w:r>
        <w:t xml:space="preserve"> additionally highlight</w:t>
      </w:r>
      <w:r w:rsidR="00E7067B">
        <w:t>ed</w:t>
      </w:r>
      <w:r>
        <w:t xml:space="preserve"> the inefficiencies that would result if the C</w:t>
      </w:r>
      <w:r w:rsidR="003F6FA3">
        <w:t xml:space="preserve">rown </w:t>
      </w:r>
      <w:r>
        <w:t>P</w:t>
      </w:r>
      <w:r w:rsidR="003F6FA3">
        <w:t xml:space="preserve">rosecution </w:t>
      </w:r>
      <w:r>
        <w:t>S</w:t>
      </w:r>
      <w:r w:rsidR="003F6FA3">
        <w:t>ervice</w:t>
      </w:r>
      <w:r>
        <w:t xml:space="preserve"> were required to launch separate prosecutions to charge the laundering of consumer offence proceeds. </w:t>
      </w:r>
      <w:r w:rsidR="00E7067B">
        <w:t>He</w:t>
      </w:r>
      <w:r>
        <w:t xml:space="preserve"> argue</w:t>
      </w:r>
      <w:r w:rsidR="00E7067B">
        <w:t>d</w:t>
      </w:r>
      <w:r>
        <w:t xml:space="preserve"> that</w:t>
      </w:r>
      <w:r w:rsidR="00E7067B">
        <w:t xml:space="preserve">, although </w:t>
      </w:r>
      <w:r w:rsidR="00410F57">
        <w:t xml:space="preserve">on this wider approach there was </w:t>
      </w:r>
      <w:r w:rsidR="00207842">
        <w:t>no</w:t>
      </w:r>
      <w:r w:rsidR="00410F57">
        <w:t xml:space="preserve">thing to prevent a local authority prosecuting serious crimes such as blackmail, </w:t>
      </w:r>
      <w:bookmarkStart w:id="14" w:name="_Int_vywE5y1l"/>
      <w:r w:rsidR="00410F57">
        <w:t>assault</w:t>
      </w:r>
      <w:bookmarkEnd w:id="14"/>
      <w:r w:rsidR="00410F57">
        <w:t xml:space="preserve"> and rape </w:t>
      </w:r>
      <w:bookmarkStart w:id="15" w:name="_Int_cTnOi2bH"/>
      <w:r w:rsidR="00410F57">
        <w:t>provided that</w:t>
      </w:r>
      <w:bookmarkEnd w:id="15"/>
      <w:r w:rsidR="00410F57">
        <w:t xml:space="preserve"> they are disclosed by an investigation into the listed consumer offences and are linked to them, </w:t>
      </w:r>
      <w:r>
        <w:t>concerns about empowering local authorities to pro</w:t>
      </w:r>
      <w:r w:rsidR="00410F57">
        <w:t>ceed in this way</w:t>
      </w:r>
      <w:r>
        <w:t xml:space="preserve"> are misguided. Local authorities already enjoy a </w:t>
      </w:r>
      <w:r>
        <w:lastRenderedPageBreak/>
        <w:t>power to prosecute any offence</w:t>
      </w:r>
      <w:r w:rsidR="3BF23BEA">
        <w:t>, subject ordinarily to local connection,</w:t>
      </w:r>
      <w:r>
        <w:t xml:space="preserve"> under section 222 </w:t>
      </w:r>
      <w:r w:rsidR="00410F57">
        <w:t xml:space="preserve">of the </w:t>
      </w:r>
      <w:r>
        <w:t xml:space="preserve">LGA 1972 and in practice they may defer to the </w:t>
      </w:r>
      <w:bookmarkStart w:id="16" w:name="_Int_GYNHVJg8"/>
      <w:r>
        <w:t>CPS</w:t>
      </w:r>
      <w:bookmarkEnd w:id="16"/>
      <w:r>
        <w:t xml:space="preserve"> when appropriate. Moreover, it is unrealistic to suppose that the broader construction of paragraph 46 would transform local authorities into national prosecution services because the scope of investigations under CRA 2015 is narrowly circumscribed by paragraph 19 of Schedule 5. </w:t>
      </w:r>
    </w:p>
    <w:p w14:paraId="681A9885" w14:textId="580D9402" w:rsidR="006A6347" w:rsidRPr="00D0604A" w:rsidRDefault="00410F57" w:rsidP="00EA0C29">
      <w:pPr>
        <w:pStyle w:val="ParaLevel1"/>
      </w:pPr>
      <w:r>
        <w:t xml:space="preserve">Ms Nina Grahame KC for BIM adopted </w:t>
      </w:r>
      <w:r w:rsidR="006A6347">
        <w:t>HHJ Burn’s analysis in full, arguing that “paragraph 46(2)(d) applies only to offences committed in connection with an ongoing investigation (for instance obstruction-type offences)”</w:t>
      </w:r>
      <w:r>
        <w:t>.</w:t>
      </w:r>
      <w:r w:rsidR="006A6347">
        <w:t xml:space="preserve"> </w:t>
      </w:r>
      <w:r>
        <w:t>She</w:t>
      </w:r>
      <w:r w:rsidR="006A6347">
        <w:t xml:space="preserve"> submit</w:t>
      </w:r>
      <w:r>
        <w:t xml:space="preserve">ted </w:t>
      </w:r>
      <w:r w:rsidR="006A6347">
        <w:t>that York’s expansion of the term “investigation” to include “what was investigated” distorts the plain meaning of the word</w:t>
      </w:r>
      <w:r>
        <w:t xml:space="preserve"> seen in its proper context. </w:t>
      </w:r>
      <w:r w:rsidR="00B30C39">
        <w:t>Ms Grahame</w:t>
      </w:r>
      <w:r>
        <w:t xml:space="preserve"> </w:t>
      </w:r>
      <w:r w:rsidR="008A7A6B">
        <w:t xml:space="preserve">KC </w:t>
      </w:r>
      <w:r>
        <w:t>invited us to consider the location of sub-paragraph (d) within paragraph 46(2) as</w:t>
      </w:r>
      <w:r w:rsidR="00144D36">
        <w:t xml:space="preserve"> significant. She submitted that</w:t>
      </w:r>
      <w:r>
        <w:t xml:space="preserve"> it was part of the “reactive” provisions which also include sub-paragraph (e)</w:t>
      </w:r>
      <w:r w:rsidR="61B65A35">
        <w:t xml:space="preserve">. </w:t>
      </w:r>
      <w:r w:rsidR="00EC6104">
        <w:t xml:space="preserve">Those </w:t>
      </w:r>
      <w:r w:rsidR="0081220B">
        <w:t xml:space="preserve">contrast with sub-paragraphs (a) to (c) which set out the parameters of the </w:t>
      </w:r>
      <w:r w:rsidR="00CF4CE3">
        <w:t>primary offences with which paragraph 46(2) is concerned.</w:t>
      </w:r>
      <w:r w:rsidR="00D3756A">
        <w:t xml:space="preserve"> She submitted that sub-paragraph (e)</w:t>
      </w:r>
      <w:r w:rsidR="00A34D73">
        <w:t xml:space="preserve"> is there f</w:t>
      </w:r>
      <w:r>
        <w:t xml:space="preserve">or reasons of clarity. Finally, she argued that on Birmingham’s approach a local authority was being conferred </w:t>
      </w:r>
      <w:r w:rsidR="00194AFC">
        <w:t xml:space="preserve">with </w:t>
      </w:r>
      <w:r>
        <w:t>exorbitant powers which fell outside its competence and constitutional ambit</w:t>
      </w:r>
      <w:r w:rsidR="006A6347">
        <w:t>.</w:t>
      </w:r>
    </w:p>
    <w:p w14:paraId="59F8DA2D" w14:textId="22DD0218" w:rsidR="00D0604A" w:rsidRPr="00D0604A" w:rsidRDefault="00D0604A" w:rsidP="00EA0C29">
      <w:pPr>
        <w:pStyle w:val="ParaLevel1"/>
      </w:pPr>
      <w:r>
        <w:t>Ms Sallie Bennet</w:t>
      </w:r>
      <w:r w:rsidR="00DB0BA7">
        <w:t>t</w:t>
      </w:r>
      <w:r>
        <w:t>-Jenkins KC for BI</w:t>
      </w:r>
      <w:r w:rsidR="00846630">
        <w:t>Y</w:t>
      </w:r>
      <w:r>
        <w:t xml:space="preserve"> advanced similar arguments in </w:t>
      </w:r>
      <w:r w:rsidR="004F0E82">
        <w:t>suppor</w:t>
      </w:r>
      <w:r>
        <w:t>t of HHJ Burn’s approach</w:t>
      </w:r>
      <w:r w:rsidR="004F0E82">
        <w:t>.</w:t>
      </w:r>
      <w:r>
        <w:t xml:space="preserve"> But she diverged slightly from Ms Grahame KC’s submission on the reasons lying behind the enactment of sub-paragraph (e). Her point was that this provision served a “real purpose” in that it identified two specific matters which she said were not </w:t>
      </w:r>
      <w:bookmarkStart w:id="17" w:name="_Int_BTMyY9Sm"/>
      <w:r>
        <w:t>wholly covered</w:t>
      </w:r>
      <w:bookmarkEnd w:id="17"/>
      <w:r>
        <w:t xml:space="preserve"> by sub-paragraph (d).</w:t>
      </w:r>
    </w:p>
    <w:p w14:paraId="7FD9ACAD" w14:textId="5BA15F16" w:rsidR="00D0604A" w:rsidRPr="00D0604A" w:rsidRDefault="00D0604A" w:rsidP="00EA0C29">
      <w:pPr>
        <w:pStyle w:val="ParaLevel1"/>
        <w:numPr>
          <w:ilvl w:val="0"/>
          <w:numId w:val="0"/>
        </w:numPr>
        <w:rPr>
          <w:i/>
          <w:iCs/>
          <w:szCs w:val="24"/>
        </w:rPr>
      </w:pPr>
      <w:r>
        <w:rPr>
          <w:i/>
          <w:iCs/>
        </w:rPr>
        <w:t>Discussion</w:t>
      </w:r>
    </w:p>
    <w:p w14:paraId="5F5A16C8" w14:textId="5DFA4A6A" w:rsidR="006A6347" w:rsidRPr="00014B5D" w:rsidRDefault="00F32E81" w:rsidP="00EA0C29">
      <w:pPr>
        <w:pStyle w:val="ParaLevel1"/>
        <w:rPr>
          <w:rFonts w:ascii="Palatino Linotype" w:hAnsi="Palatino Linotype"/>
          <w:sz w:val="22"/>
          <w:szCs w:val="22"/>
        </w:rPr>
      </w:pPr>
      <w:r w:rsidRPr="00F32E81">
        <w:rPr>
          <w:szCs w:val="24"/>
        </w:rPr>
        <w:t xml:space="preserve">We </w:t>
      </w:r>
      <w:r w:rsidR="004F0E82">
        <w:rPr>
          <w:szCs w:val="24"/>
        </w:rPr>
        <w:t>are unable to</w:t>
      </w:r>
      <w:r w:rsidR="00F712CE">
        <w:rPr>
          <w:szCs w:val="24"/>
        </w:rPr>
        <w:t xml:space="preserve"> accept</w:t>
      </w:r>
      <w:r w:rsidR="000C224C">
        <w:rPr>
          <w:szCs w:val="24"/>
        </w:rPr>
        <w:t xml:space="preserve"> </w:t>
      </w:r>
      <w:r w:rsidRPr="00F32E81">
        <w:rPr>
          <w:szCs w:val="24"/>
        </w:rPr>
        <w:t xml:space="preserve">an interpretation of paragraph 46(2)(d) which </w:t>
      </w:r>
      <w:r>
        <w:rPr>
          <w:szCs w:val="24"/>
        </w:rPr>
        <w:t xml:space="preserve">insists that the offence must have its origins in the </w:t>
      </w:r>
      <w:r w:rsidR="008578C1">
        <w:rPr>
          <w:szCs w:val="24"/>
        </w:rPr>
        <w:t xml:space="preserve">manner or conduct of the </w:t>
      </w:r>
      <w:r>
        <w:rPr>
          <w:szCs w:val="24"/>
        </w:rPr>
        <w:t xml:space="preserve">investigation, narrowly viewed, rather than anything that may be under investigation. Such a construction fails to take account </w:t>
      </w:r>
      <w:r w:rsidR="0061239B">
        <w:rPr>
          <w:szCs w:val="24"/>
        </w:rPr>
        <w:t xml:space="preserve">of </w:t>
      </w:r>
      <w:r>
        <w:rPr>
          <w:szCs w:val="24"/>
        </w:rPr>
        <w:t>the wording of the</w:t>
      </w:r>
      <w:r w:rsidR="00AE5F89">
        <w:rPr>
          <w:szCs w:val="24"/>
        </w:rPr>
        <w:t xml:space="preserve"> </w:t>
      </w:r>
      <w:r w:rsidR="003E6476">
        <w:rPr>
          <w:szCs w:val="24"/>
        </w:rPr>
        <w:t>provi</w:t>
      </w:r>
      <w:r w:rsidR="000A029E">
        <w:rPr>
          <w:szCs w:val="24"/>
        </w:rPr>
        <w:t>s</w:t>
      </w:r>
      <w:r w:rsidR="003E6476">
        <w:rPr>
          <w:szCs w:val="24"/>
        </w:rPr>
        <w:t>ion</w:t>
      </w:r>
      <w:r>
        <w:rPr>
          <w:szCs w:val="24"/>
        </w:rPr>
        <w:t xml:space="preserve"> as a </w:t>
      </w:r>
      <w:r w:rsidR="000D320A">
        <w:rPr>
          <w:szCs w:val="24"/>
        </w:rPr>
        <w:t>whole and</w:t>
      </w:r>
      <w:r>
        <w:rPr>
          <w:szCs w:val="24"/>
        </w:rPr>
        <w:t xml:space="preserve"> suffers from the problem</w:t>
      </w:r>
      <w:r w:rsidR="005C6F90">
        <w:rPr>
          <w:szCs w:val="24"/>
        </w:rPr>
        <w:t>, contrary to Ms Ben</w:t>
      </w:r>
      <w:r w:rsidR="00234913">
        <w:rPr>
          <w:szCs w:val="24"/>
        </w:rPr>
        <w:t>n</w:t>
      </w:r>
      <w:r w:rsidR="005C6F90">
        <w:rPr>
          <w:szCs w:val="24"/>
        </w:rPr>
        <w:t>et</w:t>
      </w:r>
      <w:r w:rsidR="00DB0BA7">
        <w:rPr>
          <w:szCs w:val="24"/>
        </w:rPr>
        <w:t>t</w:t>
      </w:r>
      <w:r w:rsidR="005C6F90">
        <w:rPr>
          <w:szCs w:val="24"/>
        </w:rPr>
        <w:t>-Jenkin</w:t>
      </w:r>
      <w:r w:rsidR="00A30263">
        <w:rPr>
          <w:szCs w:val="24"/>
        </w:rPr>
        <w:t>s</w:t>
      </w:r>
      <w:r w:rsidR="00F9048D">
        <w:rPr>
          <w:szCs w:val="24"/>
        </w:rPr>
        <w:t xml:space="preserve"> KC</w:t>
      </w:r>
      <w:r w:rsidR="00A30263">
        <w:rPr>
          <w:szCs w:val="24"/>
        </w:rPr>
        <w:t>’</w:t>
      </w:r>
      <w:r w:rsidR="00F9048D">
        <w:rPr>
          <w:szCs w:val="24"/>
        </w:rPr>
        <w:t>s</w:t>
      </w:r>
      <w:r w:rsidR="00A30263">
        <w:rPr>
          <w:szCs w:val="24"/>
        </w:rPr>
        <w:t xml:space="preserve"> submission,</w:t>
      </w:r>
      <w:r>
        <w:rPr>
          <w:szCs w:val="24"/>
        </w:rPr>
        <w:t xml:space="preserve"> that it</w:t>
      </w:r>
      <w:r w:rsidR="000D320A">
        <w:rPr>
          <w:szCs w:val="24"/>
        </w:rPr>
        <w:t xml:space="preserve"> leave</w:t>
      </w:r>
      <w:r w:rsidR="00D67588">
        <w:rPr>
          <w:szCs w:val="24"/>
        </w:rPr>
        <w:t>s</w:t>
      </w:r>
      <w:r>
        <w:rPr>
          <w:szCs w:val="24"/>
        </w:rPr>
        <w:t xml:space="preserve"> sub-paragraph (e) </w:t>
      </w:r>
      <w:r w:rsidR="00D67588">
        <w:rPr>
          <w:szCs w:val="24"/>
        </w:rPr>
        <w:t>with no purpose</w:t>
      </w:r>
    </w:p>
    <w:p w14:paraId="25B6ADDB" w14:textId="1BF3F189" w:rsidR="00014B5D" w:rsidRPr="00014B5D" w:rsidRDefault="00014B5D" w:rsidP="00EA0C29">
      <w:pPr>
        <w:pStyle w:val="ParaLevel1"/>
        <w:rPr>
          <w:rFonts w:ascii="Palatino Linotype" w:hAnsi="Palatino Linotype"/>
          <w:sz w:val="22"/>
          <w:szCs w:val="22"/>
        </w:rPr>
      </w:pPr>
      <w:r>
        <w:rPr>
          <w:szCs w:val="24"/>
        </w:rPr>
        <w:t xml:space="preserve">An examination of where sub-paragraph (d) falls in paragraph 46(2) </w:t>
      </w:r>
      <w:r w:rsidR="00451E98">
        <w:rPr>
          <w:szCs w:val="24"/>
        </w:rPr>
        <w:t>does not assist</w:t>
      </w:r>
      <w:r>
        <w:rPr>
          <w:szCs w:val="24"/>
        </w:rPr>
        <w:t xml:space="preserve">. Sub-paragraph (e) is “reactive” </w:t>
      </w:r>
      <w:r w:rsidR="009710B6">
        <w:rPr>
          <w:szCs w:val="24"/>
        </w:rPr>
        <w:t xml:space="preserve">in the sense suggested by Ms Grahame </w:t>
      </w:r>
      <w:r w:rsidR="008A7A6B">
        <w:rPr>
          <w:szCs w:val="24"/>
        </w:rPr>
        <w:t xml:space="preserve">KC </w:t>
      </w:r>
      <w:r>
        <w:rPr>
          <w:szCs w:val="24"/>
        </w:rPr>
        <w:t xml:space="preserve">but that is a neutral factor in deciding whether sub-paragraph (d) is its companion. </w:t>
      </w:r>
    </w:p>
    <w:p w14:paraId="491B1F12" w14:textId="7B201E64" w:rsidR="006A60FA" w:rsidRPr="006A60FA" w:rsidRDefault="006A60FA" w:rsidP="00EA0C29">
      <w:pPr>
        <w:pStyle w:val="ParaLevel1"/>
        <w:rPr>
          <w:rFonts w:ascii="Palatino Linotype" w:hAnsi="Palatino Linotype"/>
          <w:sz w:val="22"/>
          <w:szCs w:val="22"/>
        </w:rPr>
      </w:pPr>
      <w:r>
        <w:t xml:space="preserve">Furthermore, the point has been well made, </w:t>
      </w:r>
      <w:bookmarkStart w:id="18" w:name="_Int_uqak9kMR"/>
      <w:r>
        <w:t>in particular by</w:t>
      </w:r>
      <w:bookmarkEnd w:id="18"/>
      <w:r>
        <w:t xml:space="preserve"> HHJ Southern, that the narrow interpretation achieves an absurd result. Moneylending is a listed offence, and capable of prosecution by a </w:t>
      </w:r>
      <w:r w:rsidR="00582CDD">
        <w:t>weights and measures authority</w:t>
      </w:r>
      <w:r>
        <w:t xml:space="preserve"> but the money laundering which is undoubtedly designed and intended to siphon off and conceal the fruits of the primary offence is not. </w:t>
      </w:r>
    </w:p>
    <w:p w14:paraId="35329F00" w14:textId="1FDC2D46" w:rsidR="006A60FA" w:rsidRPr="006A60FA" w:rsidRDefault="006A60FA" w:rsidP="00EA0C29">
      <w:pPr>
        <w:pStyle w:val="ParaLevel1"/>
        <w:rPr>
          <w:rFonts w:ascii="Palatino Linotype" w:hAnsi="Palatino Linotype"/>
          <w:sz w:val="22"/>
          <w:szCs w:val="22"/>
        </w:rPr>
      </w:pPr>
      <w:r>
        <w:t xml:space="preserve">The correct </w:t>
      </w:r>
      <w:r w:rsidR="1D57B05F">
        <w:t>starting point</w:t>
      </w:r>
      <w:r>
        <w:t xml:space="preserve"> in a case such as the present is </w:t>
      </w:r>
      <w:r w:rsidR="00207842">
        <w:t xml:space="preserve">to </w:t>
      </w:r>
      <w:r>
        <w:t>respect the language Parliament has used</w:t>
      </w:r>
      <w:r w:rsidR="00207842">
        <w:t xml:space="preserve"> and</w:t>
      </w:r>
      <w:r>
        <w:t xml:space="preserve"> to consider the provision </w:t>
      </w:r>
      <w:bookmarkStart w:id="19" w:name="_Int_Sfna2BD5"/>
      <w:r>
        <w:t>as a whole within</w:t>
      </w:r>
      <w:bookmarkEnd w:id="19"/>
      <w:r>
        <w:t xml:space="preserve"> the </w:t>
      </w:r>
      <w:r w:rsidR="00014B5D">
        <w:t xml:space="preserve">entire </w:t>
      </w:r>
      <w:r w:rsidR="00207842">
        <w:t xml:space="preserve">statutory </w:t>
      </w:r>
      <w:r>
        <w:t xml:space="preserve">scheme in the light of its evident purposes. </w:t>
      </w:r>
    </w:p>
    <w:p w14:paraId="40427D6C" w14:textId="0B049B21" w:rsidR="006A60FA" w:rsidRPr="008578C1" w:rsidRDefault="006A60FA" w:rsidP="00EA0C29">
      <w:pPr>
        <w:pStyle w:val="ParaLevel1"/>
        <w:rPr>
          <w:rFonts w:ascii="Palatino Linotype" w:hAnsi="Palatino Linotype"/>
          <w:sz w:val="22"/>
          <w:szCs w:val="22"/>
        </w:rPr>
      </w:pPr>
      <w:r>
        <w:rPr>
          <w:szCs w:val="24"/>
        </w:rPr>
        <w:lastRenderedPageBreak/>
        <w:t xml:space="preserve">In </w:t>
      </w:r>
      <w:r w:rsidR="008578C1" w:rsidRPr="008578C1">
        <w:rPr>
          <w:i/>
          <w:iCs/>
          <w:szCs w:val="24"/>
        </w:rPr>
        <w:t xml:space="preserve">Hurstwood </w:t>
      </w:r>
      <w:r w:rsidR="008578C1">
        <w:rPr>
          <w:i/>
          <w:iCs/>
          <w:szCs w:val="24"/>
        </w:rPr>
        <w:t xml:space="preserve">(A) </w:t>
      </w:r>
      <w:r w:rsidR="008578C1" w:rsidRPr="008578C1">
        <w:rPr>
          <w:i/>
          <w:iCs/>
          <w:szCs w:val="24"/>
        </w:rPr>
        <w:t>Properties Ltd v Rossendale Borough Council and another</w:t>
      </w:r>
      <w:r w:rsidR="008578C1">
        <w:rPr>
          <w:szCs w:val="24"/>
        </w:rPr>
        <w:t xml:space="preserve"> [2021] UKSC 16; [2022] AC 690</w:t>
      </w:r>
      <w:r w:rsidR="00AF1D41">
        <w:rPr>
          <w:szCs w:val="24"/>
        </w:rPr>
        <w:t xml:space="preserve"> at [16]</w:t>
      </w:r>
      <w:r w:rsidR="008578C1">
        <w:rPr>
          <w:szCs w:val="24"/>
        </w:rPr>
        <w:t xml:space="preserve"> Lords Briggs and Leggatt JJSC, giving the judgment of the Court, stated:</w:t>
      </w:r>
    </w:p>
    <w:p w14:paraId="6317815C" w14:textId="37A4B058" w:rsidR="008578C1" w:rsidRDefault="008578C1" w:rsidP="00EA0C29">
      <w:pPr>
        <w:pStyle w:val="Quote"/>
      </w:pPr>
      <w:r>
        <w:t xml:space="preserve">“Both interpretation and application share the need to avoid tunnel vision. The </w:t>
      </w:r>
      <w:bookmarkStart w:id="20" w:name="_Int_aMpKi5eP"/>
      <w:r>
        <w:t>particular charging</w:t>
      </w:r>
      <w:bookmarkEnd w:id="20"/>
      <w:r>
        <w:t xml:space="preserve"> or exempting provision must be construed in the context of the whole statutory scheme within which it is contained. The identification of its purpose may require an even wider review, extending to the history of the statutory provision or scheme and its political or social objective, to the extent that this can reliably be ascertained from admissible material.”</w:t>
      </w:r>
    </w:p>
    <w:p w14:paraId="440E01FA" w14:textId="4A515676" w:rsidR="008578C1" w:rsidRDefault="00CA15A3" w:rsidP="00EA0C29">
      <w:pPr>
        <w:pStyle w:val="ParaLevel1"/>
      </w:pPr>
      <w:r>
        <w:t xml:space="preserve">The language of </w:t>
      </w:r>
      <w:r w:rsidR="008578C1">
        <w:t xml:space="preserve">Paragraph 46(2)(d) is </w:t>
      </w:r>
      <w:r>
        <w:t xml:space="preserve">capable of </w:t>
      </w:r>
      <w:r w:rsidR="00883DB2">
        <w:t>more than one feasible interpretation</w:t>
      </w:r>
      <w:r w:rsidR="008578C1">
        <w:t>, but in our view</w:t>
      </w:r>
      <w:r w:rsidR="003D5CCD">
        <w:t>,</w:t>
      </w:r>
      <w:r w:rsidR="008578C1">
        <w:t xml:space="preserve"> Mr Kirk was correct to submit that the phrase “an investigation into a breach of legislation etc.” is apt to accommodate the subject-matter of that investigation</w:t>
      </w:r>
      <w:bookmarkStart w:id="21" w:name="_Int_5D1VnbkX"/>
      <w:r w:rsidR="008578C1">
        <w:t>, that is to say, what</w:t>
      </w:r>
      <w:bookmarkEnd w:id="21"/>
      <w:r w:rsidR="008578C1">
        <w:t xml:space="preserve"> is being investigated. The adjectival phrase “originating from” requires there to be some sort of </w:t>
      </w:r>
      <w:r w:rsidR="0036114B">
        <w:t>connection</w:t>
      </w:r>
      <w:r w:rsidR="008578C1">
        <w:t xml:space="preserve"> between the </w:t>
      </w:r>
      <w:bookmarkStart w:id="22" w:name="_Int_aTF1s1fP"/>
      <w:r w:rsidR="008578C1">
        <w:t>particular</w:t>
      </w:r>
      <w:r w:rsidR="1A1D48A0">
        <w:t xml:space="preserve"> </w:t>
      </w:r>
      <w:r w:rsidR="008578C1">
        <w:t>consumer</w:t>
      </w:r>
      <w:bookmarkEnd w:id="22"/>
      <w:r w:rsidR="008578C1">
        <w:t xml:space="preserve"> offence or offences being investigated</w:t>
      </w:r>
      <w:r w:rsidR="0036103E">
        <w:t xml:space="preserve"> </w:t>
      </w:r>
      <w:r w:rsidR="008578C1">
        <w:t xml:space="preserve">and the </w:t>
      </w:r>
      <w:r w:rsidR="0036114B">
        <w:t xml:space="preserve">further offence or offences which are revealed by the facts and matters being investigated. In this way, an investigation into </w:t>
      </w:r>
      <w:r w:rsidR="00207842">
        <w:t xml:space="preserve">alleged breaches of the </w:t>
      </w:r>
      <w:r w:rsidR="008E254E">
        <w:t>Unfair Trading Regulations</w:t>
      </w:r>
      <w:r w:rsidR="00207842">
        <w:t xml:space="preserve"> may reveal that what may be described as typical consequential offences – for example, money laundering – have been committed</w:t>
      </w:r>
      <w:r w:rsidR="00333548">
        <w:t xml:space="preserve">. Equally, an investigation into </w:t>
      </w:r>
      <w:r w:rsidR="0036114B">
        <w:t xml:space="preserve">moneylending may reveal that violence </w:t>
      </w:r>
      <w:r w:rsidR="00582691">
        <w:t xml:space="preserve">or intimidation </w:t>
      </w:r>
      <w:r w:rsidR="0036114B">
        <w:t xml:space="preserve">has been used or threatened to enforce repayment: that would </w:t>
      </w:r>
      <w:r w:rsidR="00333548">
        <w:t xml:space="preserve">also </w:t>
      </w:r>
      <w:r w:rsidR="0036114B">
        <w:t>be within scope</w:t>
      </w:r>
      <w:r w:rsidR="0009739A">
        <w:t xml:space="preserve"> as originating from</w:t>
      </w:r>
      <w:r w:rsidR="00DE0D41">
        <w:t xml:space="preserve"> the underlying offence</w:t>
      </w:r>
      <w:r w:rsidR="0036114B">
        <w:t xml:space="preserve">. Conversely, an identical investigation which revealed </w:t>
      </w:r>
      <w:r w:rsidR="508C2F33">
        <w:t>unconnected</w:t>
      </w:r>
      <w:r w:rsidR="0036114B">
        <w:t xml:space="preserve"> offending (</w:t>
      </w:r>
      <w:r w:rsidR="3758A226">
        <w:t>e.g.,</w:t>
      </w:r>
      <w:r w:rsidR="0036114B">
        <w:t xml:space="preserve"> interrogation of a mobile phone revealing photographs of child cruelty) would </w:t>
      </w:r>
      <w:r w:rsidR="00F0285F">
        <w:t>not be within scope.</w:t>
      </w:r>
      <w:r w:rsidR="0036114B">
        <w:t xml:space="preserve"> </w:t>
      </w:r>
    </w:p>
    <w:p w14:paraId="59A736D5" w14:textId="5621BA0E" w:rsidR="0042401F" w:rsidRDefault="00B03902" w:rsidP="00EA0C29">
      <w:pPr>
        <w:pStyle w:val="ParaLevel1"/>
      </w:pPr>
      <w:r>
        <w:t xml:space="preserve">Our conclusion that </w:t>
      </w:r>
      <w:r w:rsidR="0036114B">
        <w:t>Mr Kirk’s submission</w:t>
      </w:r>
      <w:r w:rsidR="009E5AB1">
        <w:t xml:space="preserve"> i</w:t>
      </w:r>
      <w:r w:rsidR="0036114B">
        <w:t>s</w:t>
      </w:r>
      <w:r w:rsidR="009E5AB1">
        <w:t xml:space="preserve"> correct is reinforced</w:t>
      </w:r>
      <w:r w:rsidR="0036114B">
        <w:t xml:space="preserve"> by </w:t>
      </w:r>
      <w:r w:rsidR="00333548">
        <w:t>considering</w:t>
      </w:r>
      <w:r w:rsidR="0036114B">
        <w:t xml:space="preserve"> where the alternative, narrow interpretation leads</w:t>
      </w:r>
      <w:r w:rsidR="0042401F">
        <w:t xml:space="preserve"> </w:t>
      </w:r>
      <w:r w:rsidR="00333548">
        <w:t xml:space="preserve">(that is to say, to absurdity) </w:t>
      </w:r>
      <w:r w:rsidR="0042401F">
        <w:t xml:space="preserve">and by </w:t>
      </w:r>
      <w:r w:rsidR="479802CF">
        <w:t>considering</w:t>
      </w:r>
      <w:r w:rsidR="0042401F">
        <w:t xml:space="preserve"> the wider policy and social objectives of this provision. We agree that it would have been obvious to Parliament that consumer offences did not notionally stop at those listed in sub-paragraphs (a) </w:t>
      </w:r>
      <w:r w:rsidR="00A57EEC">
        <w:t>to</w:t>
      </w:r>
      <w:r w:rsidR="0042401F">
        <w:t xml:space="preserve"> (c), although these represent the paradigm examples. Conspiracy to defraud and money laundering offences did not find their way into the </w:t>
      </w:r>
      <w:r w:rsidR="00333548">
        <w:t>schedule 5 lists</w:t>
      </w:r>
      <w:r w:rsidR="0042401F">
        <w:t xml:space="preserve"> for the straightforward reason that they are not always consumer offences. They may acquire that characteristic if linked to a listed offence in the sense explained. </w:t>
      </w:r>
    </w:p>
    <w:p w14:paraId="4228D90A" w14:textId="77777777" w:rsidR="00CF603E" w:rsidRDefault="0042401F" w:rsidP="00EA0C29">
      <w:pPr>
        <w:pStyle w:val="ParaLevel1"/>
      </w:pPr>
      <w:r>
        <w:t xml:space="preserve">For these reasons, we conclude that both York and Birmingham did have power to prosecute the offences at issue under paragraph 46(2)(d) of schedule 5 to the CRA 2015. </w:t>
      </w:r>
    </w:p>
    <w:p w14:paraId="78FFB9DC" w14:textId="23582F8E" w:rsidR="0042401F" w:rsidRDefault="0042401F" w:rsidP="00EA0C29">
      <w:pPr>
        <w:pStyle w:val="ParaLevel1"/>
      </w:pPr>
      <w:r>
        <w:t>In those circumstances, the fourth</w:t>
      </w:r>
      <w:r w:rsidR="00EC7EC8">
        <w:t xml:space="preserve"> </w:t>
      </w:r>
      <w:r w:rsidR="00770CE6">
        <w:t xml:space="preserve">issue </w:t>
      </w:r>
      <w:r w:rsidR="00EC7EC8">
        <w:t>(section 101(1)(b)</w:t>
      </w:r>
      <w:r w:rsidR="00770CE6">
        <w:t xml:space="preserve"> LGA 1972)</w:t>
      </w:r>
      <w:r>
        <w:t xml:space="preserve"> and fifth issue</w:t>
      </w:r>
      <w:r w:rsidR="00770CE6">
        <w:t xml:space="preserve"> (expediency under section 222 LGA 1972)</w:t>
      </w:r>
      <w:r>
        <w:t xml:space="preserve"> do not arise. </w:t>
      </w:r>
    </w:p>
    <w:p w14:paraId="321A8AB6" w14:textId="09241F3D" w:rsidR="00D2078F" w:rsidRPr="00D2078F" w:rsidRDefault="00D2078F" w:rsidP="00EA0C29">
      <w:pPr>
        <w:pStyle w:val="ParaLevel1"/>
        <w:numPr>
          <w:ilvl w:val="0"/>
          <w:numId w:val="0"/>
        </w:numPr>
        <w:rPr>
          <w:b/>
          <w:bCs/>
        </w:rPr>
      </w:pPr>
      <w:r w:rsidRPr="1540DD9B">
        <w:rPr>
          <w:b/>
          <w:bCs/>
        </w:rPr>
        <w:t xml:space="preserve">The Second Issue: </w:t>
      </w:r>
      <w:r w:rsidR="01FEB9A8" w:rsidRPr="1540DD9B">
        <w:rPr>
          <w:b/>
          <w:bCs/>
        </w:rPr>
        <w:t xml:space="preserve">Consent of the </w:t>
      </w:r>
      <w:r w:rsidRPr="1540DD9B">
        <w:rPr>
          <w:b/>
          <w:bCs/>
        </w:rPr>
        <w:t>D</w:t>
      </w:r>
      <w:r w:rsidR="00225CBC" w:rsidRPr="1540DD9B">
        <w:rPr>
          <w:b/>
          <w:bCs/>
        </w:rPr>
        <w:t xml:space="preserve">irector </w:t>
      </w:r>
      <w:r w:rsidR="00D16551" w:rsidRPr="1540DD9B">
        <w:rPr>
          <w:b/>
          <w:bCs/>
        </w:rPr>
        <w:t xml:space="preserve">of </w:t>
      </w:r>
      <w:r w:rsidRPr="1540DD9B">
        <w:rPr>
          <w:b/>
          <w:bCs/>
        </w:rPr>
        <w:t>P</w:t>
      </w:r>
      <w:r w:rsidR="00D16551" w:rsidRPr="1540DD9B">
        <w:rPr>
          <w:b/>
          <w:bCs/>
        </w:rPr>
        <w:t xml:space="preserve">ublic </w:t>
      </w:r>
      <w:r w:rsidRPr="1540DD9B">
        <w:rPr>
          <w:b/>
          <w:bCs/>
        </w:rPr>
        <w:t>P</w:t>
      </w:r>
      <w:r w:rsidR="00D16551" w:rsidRPr="1540DD9B">
        <w:rPr>
          <w:b/>
          <w:bCs/>
        </w:rPr>
        <w:t>rosecutions</w:t>
      </w:r>
    </w:p>
    <w:p w14:paraId="490BD926" w14:textId="4A73B726" w:rsidR="00D2078F" w:rsidRDefault="009075A9" w:rsidP="00EA0C29">
      <w:pPr>
        <w:pStyle w:val="ParaLevel1"/>
      </w:pPr>
      <w:r>
        <w:t>The charge of illegal moneylending contrary to section 23(1) of FSMA 2000 is “enforcer’s legislation” for the purposes of paragraph 11 of schedule 5 to the CRA 2015 because it “relates to a relevant regulated activity within the meaning of section 107(4)(a) of the Financial Services Act 2012</w:t>
      </w:r>
      <w:r w:rsidR="00F436B2">
        <w:t xml:space="preserve"> [“the </w:t>
      </w:r>
      <w:bookmarkStart w:id="23" w:name="_Int_oXvW8XUW"/>
      <w:r w:rsidR="00F436B2">
        <w:t>FSA</w:t>
      </w:r>
      <w:bookmarkEnd w:id="23"/>
      <w:r w:rsidR="00F436B2">
        <w:t xml:space="preserve"> 2012]</w:t>
      </w:r>
      <w:r>
        <w:t xml:space="preserve">”. Thus, it is not in dispute that this offence falls under paragraph 46(2)(c) and the issue is the narrower one of </w:t>
      </w:r>
      <w:r>
        <w:lastRenderedPageBreak/>
        <w:t xml:space="preserve">whether the consent of the </w:t>
      </w:r>
      <w:bookmarkStart w:id="24" w:name="_Int_P5evYm1w"/>
      <w:r>
        <w:t>DPP</w:t>
      </w:r>
      <w:bookmarkEnd w:id="24"/>
      <w:r>
        <w:t xml:space="preserve"> is required </w:t>
      </w:r>
      <w:r w:rsidR="00D42C8F">
        <w:t xml:space="preserve">to prosecute </w:t>
      </w:r>
      <w:r>
        <w:t>under section 401(2) of FSMA 2000.</w:t>
      </w:r>
    </w:p>
    <w:p w14:paraId="0E8ADCDD" w14:textId="1E5A09C4" w:rsidR="009075A9" w:rsidRDefault="009075A9" w:rsidP="00EA0C29">
      <w:pPr>
        <w:pStyle w:val="ParaLevel1"/>
      </w:pPr>
      <w:r>
        <w:t>We are satisfied that the DPP’s consent is not required. The point is</w:t>
      </w:r>
      <w:r w:rsidR="006F3CB1">
        <w:t xml:space="preserve"> </w:t>
      </w:r>
      <w:r>
        <w:t>a straightforward one but</w:t>
      </w:r>
      <w:r w:rsidR="00AE1E73">
        <w:t xml:space="preserve"> calls for some exploration of the legislation.</w:t>
      </w:r>
    </w:p>
    <w:p w14:paraId="06B11D07" w14:textId="712244CC" w:rsidR="009075A9" w:rsidRDefault="009075A9" w:rsidP="00EA0C29">
      <w:pPr>
        <w:pStyle w:val="ParaLevel1"/>
      </w:pPr>
      <w:r>
        <w:t xml:space="preserve">Before 31 March 2014, </w:t>
      </w:r>
      <w:r w:rsidR="0009295B">
        <w:t>illegal moneylending (i.e. the lending of money without a licence from the Office of Fair Trading) was an offence contrary to section 39 of the CCA 1974. By section 161 of the same Act, local authorities had a duty to prosecute such offences and the consent of the DPP was not required</w:t>
      </w:r>
      <w:r w:rsidR="008B6111">
        <w:t>.</w:t>
      </w:r>
    </w:p>
    <w:p w14:paraId="16C15575" w14:textId="5BACF94F" w:rsidR="0009295B" w:rsidRDefault="0009295B" w:rsidP="00EA0C29">
      <w:pPr>
        <w:pStyle w:val="ParaLevel1"/>
      </w:pPr>
      <w:r>
        <w:t>FSMA 2000 came into force on 18 June 2001. It established the Financial Services Authority (“the FSA”). At that stage, illegal moneylending continued to be an offence contrary to section 39 of the CCA 1974 and local authorities continued to prosecute these offences on the same basis.</w:t>
      </w:r>
    </w:p>
    <w:p w14:paraId="300846F1" w14:textId="7FC81CB0" w:rsidR="0009295B" w:rsidRDefault="0009295B" w:rsidP="00EA0C29">
      <w:pPr>
        <w:pStyle w:val="ParaLevel1"/>
      </w:pPr>
      <w:r>
        <w:t>Section 401 of FSMA 2000 provides:</w:t>
      </w:r>
    </w:p>
    <w:p w14:paraId="671ABC55" w14:textId="027CD90C" w:rsidR="0009295B" w:rsidRPr="0009295B" w:rsidRDefault="0009295B" w:rsidP="00EA0C29">
      <w:pPr>
        <w:pStyle w:val="Quote"/>
        <w:rPr>
          <w:szCs w:val="24"/>
          <w:lang w:eastAsia="en-GB"/>
        </w:rPr>
      </w:pPr>
      <w:r w:rsidRPr="0009295B">
        <w:rPr>
          <w:szCs w:val="24"/>
        </w:rPr>
        <w:t>“</w:t>
      </w:r>
      <w:r w:rsidRPr="0009295B">
        <w:rPr>
          <w:rStyle w:val="legds"/>
          <w:b/>
          <w:bCs/>
          <w:color w:val="000000"/>
          <w:szCs w:val="24"/>
        </w:rPr>
        <w:t>401 Proceedings for offences.</w:t>
      </w:r>
    </w:p>
    <w:p w14:paraId="07B7E69E" w14:textId="02039ED6" w:rsidR="0009295B" w:rsidRPr="0009295B" w:rsidRDefault="0009295B" w:rsidP="00EA0C29">
      <w:pPr>
        <w:pStyle w:val="Quote"/>
        <w:rPr>
          <w:szCs w:val="24"/>
        </w:rPr>
      </w:pPr>
      <w:r w:rsidRPr="0009295B">
        <w:rPr>
          <w:rStyle w:val="legsubstitution"/>
          <w:color w:val="000000"/>
          <w:szCs w:val="24"/>
        </w:rPr>
        <w:t xml:space="preserve"> (1)</w:t>
      </w:r>
      <w:r>
        <w:rPr>
          <w:rStyle w:val="legsubstitution"/>
          <w:color w:val="000000"/>
          <w:szCs w:val="24"/>
        </w:rPr>
        <w:t xml:space="preserve"> </w:t>
      </w:r>
      <w:r w:rsidRPr="0009295B">
        <w:rPr>
          <w:rStyle w:val="legsubstitution"/>
          <w:color w:val="000000"/>
          <w:szCs w:val="24"/>
        </w:rPr>
        <w:t>In this section “offence” means—</w:t>
      </w:r>
    </w:p>
    <w:p w14:paraId="3516F7CB" w14:textId="4E788E9B" w:rsidR="0009295B" w:rsidRPr="0009295B" w:rsidRDefault="0009295B" w:rsidP="00EA0C29">
      <w:pPr>
        <w:pStyle w:val="Quote"/>
        <w:ind w:left="1985"/>
        <w:rPr>
          <w:szCs w:val="24"/>
        </w:rPr>
      </w:pPr>
      <w:r w:rsidRPr="0009295B">
        <w:rPr>
          <w:rStyle w:val="legsubstitution"/>
          <w:color w:val="000000"/>
          <w:szCs w:val="24"/>
        </w:rPr>
        <w:t>(a)</w:t>
      </w:r>
      <w:r>
        <w:rPr>
          <w:rStyle w:val="legsubstitution"/>
          <w:color w:val="000000"/>
          <w:szCs w:val="24"/>
        </w:rPr>
        <w:t xml:space="preserve"> </w:t>
      </w:r>
      <w:r w:rsidRPr="0009295B">
        <w:rPr>
          <w:rStyle w:val="legsubstitution"/>
          <w:color w:val="000000"/>
          <w:szCs w:val="24"/>
        </w:rPr>
        <w:t>an offence under this Act,</w:t>
      </w:r>
    </w:p>
    <w:p w14:paraId="4D2CE9A8" w14:textId="5FF13901" w:rsidR="0009295B" w:rsidRPr="0009295B" w:rsidRDefault="0009295B" w:rsidP="00EA0C29">
      <w:pPr>
        <w:pStyle w:val="Quote"/>
        <w:ind w:left="1985"/>
        <w:rPr>
          <w:szCs w:val="24"/>
        </w:rPr>
      </w:pPr>
      <w:r w:rsidRPr="0009295B">
        <w:rPr>
          <w:rStyle w:val="legsubstitution"/>
          <w:color w:val="000000"/>
          <w:szCs w:val="24"/>
        </w:rPr>
        <w:t>(b)</w:t>
      </w:r>
      <w:r>
        <w:rPr>
          <w:rStyle w:val="legsubstitution"/>
          <w:color w:val="000000"/>
          <w:szCs w:val="24"/>
        </w:rPr>
        <w:t xml:space="preserve"> </w:t>
      </w:r>
      <w:r w:rsidRPr="0009295B">
        <w:rPr>
          <w:rStyle w:val="legsubstitution"/>
          <w:color w:val="000000"/>
          <w:szCs w:val="24"/>
        </w:rPr>
        <w:t>an offence under subordinate legislation made under this Act, or</w:t>
      </w:r>
    </w:p>
    <w:p w14:paraId="4F0CB3BD" w14:textId="411AF14D" w:rsidR="0009295B" w:rsidRPr="0009295B" w:rsidRDefault="0009295B" w:rsidP="00EA0C29">
      <w:pPr>
        <w:pStyle w:val="Quote"/>
        <w:ind w:left="1985"/>
        <w:rPr>
          <w:szCs w:val="24"/>
        </w:rPr>
      </w:pPr>
      <w:r w:rsidRPr="0009295B">
        <w:rPr>
          <w:rStyle w:val="legsubstitution"/>
          <w:color w:val="000000"/>
          <w:szCs w:val="24"/>
        </w:rPr>
        <w:t>(c)</w:t>
      </w:r>
      <w:r>
        <w:rPr>
          <w:rStyle w:val="legsubstitution"/>
          <w:color w:val="000000"/>
          <w:szCs w:val="24"/>
        </w:rPr>
        <w:t xml:space="preserve"> </w:t>
      </w:r>
      <w:r w:rsidRPr="0009295B">
        <w:rPr>
          <w:rStyle w:val="legsubstitution"/>
          <w:color w:val="000000"/>
          <w:szCs w:val="24"/>
        </w:rPr>
        <w:t>an offence under Part 7 of the Financial Services Act 2012 (offences relating to financial services).</w:t>
      </w:r>
    </w:p>
    <w:p w14:paraId="35582E1B" w14:textId="507C06BA" w:rsidR="0009295B" w:rsidRPr="0009295B" w:rsidRDefault="0009295B" w:rsidP="00EA0C29">
      <w:pPr>
        <w:pStyle w:val="Quote"/>
        <w:rPr>
          <w:szCs w:val="24"/>
        </w:rPr>
      </w:pPr>
      <w:r w:rsidRPr="0009295B">
        <w:rPr>
          <w:rStyle w:val="legds"/>
          <w:color w:val="000000"/>
          <w:szCs w:val="24"/>
        </w:rPr>
        <w:t>(2)</w:t>
      </w:r>
      <w:r>
        <w:rPr>
          <w:rStyle w:val="legds"/>
          <w:color w:val="000000"/>
          <w:szCs w:val="24"/>
        </w:rPr>
        <w:t xml:space="preserve"> </w:t>
      </w:r>
      <w:r w:rsidRPr="0009295B">
        <w:rPr>
          <w:rStyle w:val="legds"/>
          <w:color w:val="000000"/>
          <w:szCs w:val="24"/>
        </w:rPr>
        <w:t>Proceedings for an offence may be instituted in England and Wales only—</w:t>
      </w:r>
    </w:p>
    <w:p w14:paraId="12ED907D" w14:textId="7EF58720" w:rsidR="0009295B" w:rsidRPr="0009295B" w:rsidRDefault="0009295B" w:rsidP="00EA0C29">
      <w:pPr>
        <w:pStyle w:val="Quote"/>
        <w:ind w:left="1985"/>
        <w:rPr>
          <w:szCs w:val="24"/>
        </w:rPr>
      </w:pPr>
      <w:r w:rsidRPr="0009295B">
        <w:rPr>
          <w:rStyle w:val="legds"/>
          <w:color w:val="000000"/>
          <w:szCs w:val="24"/>
        </w:rPr>
        <w:t>(a)</w:t>
      </w:r>
      <w:r>
        <w:rPr>
          <w:rStyle w:val="legds"/>
          <w:color w:val="000000"/>
          <w:szCs w:val="24"/>
        </w:rPr>
        <w:t xml:space="preserve"> </w:t>
      </w:r>
      <w:r w:rsidRPr="0009295B">
        <w:rPr>
          <w:rStyle w:val="legds"/>
          <w:color w:val="000000"/>
          <w:szCs w:val="24"/>
        </w:rPr>
        <w:t>by the </w:t>
      </w:r>
      <w:r w:rsidRPr="0009295B">
        <w:rPr>
          <w:rStyle w:val="legsubstitution"/>
          <w:color w:val="000000"/>
          <w:szCs w:val="24"/>
        </w:rPr>
        <w:t>appropriate regulator</w:t>
      </w:r>
      <w:r w:rsidRPr="0009295B">
        <w:rPr>
          <w:rStyle w:val="legds"/>
          <w:color w:val="000000"/>
          <w:szCs w:val="24"/>
        </w:rPr>
        <w:t> or the Secretary of State; or</w:t>
      </w:r>
    </w:p>
    <w:p w14:paraId="0704FB4D" w14:textId="77777777" w:rsidR="00FA6643" w:rsidRDefault="0009295B" w:rsidP="00EA0C29">
      <w:pPr>
        <w:pStyle w:val="Quote"/>
        <w:ind w:left="1985"/>
        <w:rPr>
          <w:rStyle w:val="legds"/>
          <w:color w:val="000000"/>
          <w:szCs w:val="24"/>
        </w:rPr>
      </w:pPr>
      <w:r w:rsidRPr="0009295B">
        <w:rPr>
          <w:rStyle w:val="legds"/>
          <w:color w:val="000000"/>
          <w:szCs w:val="24"/>
        </w:rPr>
        <w:t>(b</w:t>
      </w:r>
      <w:r>
        <w:rPr>
          <w:rStyle w:val="legds"/>
          <w:color w:val="000000"/>
          <w:szCs w:val="24"/>
        </w:rPr>
        <w:t xml:space="preserve">) </w:t>
      </w:r>
      <w:r w:rsidRPr="0009295B">
        <w:rPr>
          <w:rStyle w:val="legds"/>
          <w:color w:val="000000"/>
          <w:szCs w:val="24"/>
        </w:rPr>
        <w:t>by or with the consent of the Director of Public Prosecutions.</w:t>
      </w:r>
    </w:p>
    <w:p w14:paraId="62B801DF" w14:textId="5646092D" w:rsidR="005C4376" w:rsidRDefault="00FA6643" w:rsidP="00EA0C29">
      <w:pPr>
        <w:pStyle w:val="Quote"/>
        <w:rPr>
          <w:szCs w:val="24"/>
        </w:rPr>
      </w:pPr>
      <w:r>
        <w:rPr>
          <w:rStyle w:val="legds"/>
          <w:color w:val="000000"/>
          <w:szCs w:val="24"/>
        </w:rPr>
        <w:t>…</w:t>
      </w:r>
      <w:r w:rsidR="0009295B" w:rsidRPr="0009295B">
        <w:rPr>
          <w:szCs w:val="24"/>
        </w:rPr>
        <w:t>”</w:t>
      </w:r>
    </w:p>
    <w:p w14:paraId="38379ABD" w14:textId="24D61D12" w:rsidR="0009295B" w:rsidRDefault="00F436B2" w:rsidP="00EA0C29">
      <w:pPr>
        <w:pStyle w:val="ParaLevel1"/>
      </w:pPr>
      <w:r>
        <w:t>At this stage, s</w:t>
      </w:r>
      <w:r w:rsidR="0009295B">
        <w:t xml:space="preserve">ection </w:t>
      </w:r>
      <w:r>
        <w:t>401 did not apply to the offence of illegal moneylending because, as we have said, it remained an offence under the CCA 1974.</w:t>
      </w:r>
    </w:p>
    <w:p w14:paraId="45260A70" w14:textId="50C77E29" w:rsidR="00F436B2" w:rsidRDefault="00F436B2" w:rsidP="00EA0C29">
      <w:pPr>
        <w:pStyle w:val="ParaLevel1"/>
      </w:pPr>
      <w:r>
        <w:t xml:space="preserve">On </w:t>
      </w:r>
      <w:bookmarkStart w:id="25" w:name="_Int_4bwYlDcn"/>
      <w:r>
        <w:t>24 January 2013</w:t>
      </w:r>
      <w:bookmarkEnd w:id="25"/>
      <w:r>
        <w:t xml:space="preserve"> the FSA 2012 inserted a new part 1A into FSMA 2000, and at the same time the FSA became the Financial Conduct Authority. The functions of the Office of Fair Trading were transferred to the latter. </w:t>
      </w:r>
    </w:p>
    <w:p w14:paraId="7A066EA6" w14:textId="343AEDDE" w:rsidR="00F436B2" w:rsidRDefault="00F436B2" w:rsidP="00EA0C29">
      <w:pPr>
        <w:pStyle w:val="ParaLevel1"/>
      </w:pPr>
      <w:r>
        <w:t>Section 107 of the FSA 2012 provided:</w:t>
      </w:r>
    </w:p>
    <w:p w14:paraId="65CD9A6D" w14:textId="70E2F4C8" w:rsidR="00F436B2" w:rsidRPr="00F436B2" w:rsidRDefault="00F436B2" w:rsidP="00EA0C29">
      <w:pPr>
        <w:pStyle w:val="Quote"/>
        <w:rPr>
          <w:lang w:eastAsia="en-GB"/>
        </w:rPr>
      </w:pPr>
      <w:r w:rsidRPr="00F436B2">
        <w:t>“</w:t>
      </w:r>
      <w:r w:rsidRPr="00F436B2">
        <w:rPr>
          <w:rStyle w:val="legds"/>
          <w:b/>
          <w:bCs/>
          <w:color w:val="000000"/>
          <w:szCs w:val="24"/>
        </w:rPr>
        <w:t>107 Power to make further provision about regulation of consumer credit</w:t>
      </w:r>
    </w:p>
    <w:p w14:paraId="1BAA2F13" w14:textId="0B7D811B" w:rsidR="00F436B2" w:rsidRPr="00F436B2" w:rsidRDefault="00F436B2" w:rsidP="00EA0C29">
      <w:pPr>
        <w:pStyle w:val="Quote"/>
      </w:pPr>
      <w:r w:rsidRPr="00F436B2">
        <w:rPr>
          <w:rStyle w:val="legds"/>
          <w:color w:val="000000"/>
          <w:szCs w:val="24"/>
        </w:rPr>
        <w:lastRenderedPageBreak/>
        <w:t>(1)</w:t>
      </w:r>
      <w:r>
        <w:rPr>
          <w:rStyle w:val="legds"/>
          <w:color w:val="000000"/>
          <w:szCs w:val="24"/>
        </w:rPr>
        <w:t xml:space="preserve"> </w:t>
      </w:r>
      <w:r w:rsidRPr="00F436B2">
        <w:rPr>
          <w:rStyle w:val="legds"/>
          <w:color w:val="000000"/>
          <w:szCs w:val="24"/>
        </w:rPr>
        <w:t>Subsection</w:t>
      </w:r>
      <w:r>
        <w:rPr>
          <w:rStyle w:val="legds"/>
          <w:color w:val="000000"/>
          <w:szCs w:val="24"/>
        </w:rPr>
        <w:t xml:space="preserve"> (2) </w:t>
      </w:r>
      <w:r w:rsidRPr="00F436B2">
        <w:rPr>
          <w:rStyle w:val="legds"/>
          <w:color w:val="000000"/>
          <w:szCs w:val="24"/>
        </w:rPr>
        <w:t>applies on or at any time after the making, after the passing of this Act, of an order under section 22 of FSMA 2000 which has the effect that an activity (a “transferred activity”)—</w:t>
      </w:r>
    </w:p>
    <w:p w14:paraId="6ADCBFD2" w14:textId="68CEA679" w:rsidR="00F436B2" w:rsidRPr="00F436B2" w:rsidRDefault="00F436B2" w:rsidP="00EA0C29">
      <w:pPr>
        <w:pStyle w:val="Quote"/>
        <w:ind w:left="1985"/>
      </w:pPr>
      <w:r w:rsidRPr="00F436B2">
        <w:rPr>
          <w:rStyle w:val="legds"/>
          <w:color w:val="000000"/>
          <w:szCs w:val="24"/>
        </w:rPr>
        <w:t>(a)</w:t>
      </w:r>
      <w:r>
        <w:rPr>
          <w:rStyle w:val="legds"/>
          <w:color w:val="000000"/>
          <w:szCs w:val="24"/>
        </w:rPr>
        <w:t xml:space="preserve"> </w:t>
      </w:r>
      <w:r w:rsidRPr="00F436B2">
        <w:rPr>
          <w:rStyle w:val="legds"/>
          <w:color w:val="000000"/>
          <w:szCs w:val="24"/>
        </w:rPr>
        <w:t>ceases to be an activity in respect of which a licence under section 21 of CCA 1974 is required or would be required but for the exemption conferred by subsection (2), (3) or (4) of that section or paragraph 15(3) of Schedule 3 to FSMA 2000, and</w:t>
      </w:r>
    </w:p>
    <w:p w14:paraId="31B7C5EA" w14:textId="5AD55C9A" w:rsidR="00F436B2" w:rsidRPr="00F436B2" w:rsidRDefault="00F436B2" w:rsidP="00EA0C29">
      <w:pPr>
        <w:pStyle w:val="Quote"/>
        <w:ind w:left="1985"/>
      </w:pPr>
      <w:r w:rsidRPr="00F436B2">
        <w:rPr>
          <w:rStyle w:val="legds"/>
          <w:color w:val="000000"/>
          <w:szCs w:val="24"/>
        </w:rPr>
        <w:t>(b)</w:t>
      </w:r>
      <w:r>
        <w:rPr>
          <w:rStyle w:val="legds"/>
          <w:color w:val="000000"/>
          <w:szCs w:val="24"/>
        </w:rPr>
        <w:t xml:space="preserve"> </w:t>
      </w:r>
      <w:r w:rsidRPr="00F436B2">
        <w:rPr>
          <w:rStyle w:val="legds"/>
          <w:color w:val="000000"/>
          <w:szCs w:val="24"/>
        </w:rPr>
        <w:t>becomes a regulated activity for the purposes of FSMA 2000.</w:t>
      </w:r>
    </w:p>
    <w:p w14:paraId="723067C3" w14:textId="464E6852" w:rsidR="00F436B2" w:rsidRPr="00F436B2" w:rsidRDefault="00F436B2" w:rsidP="00EA0C29">
      <w:pPr>
        <w:pStyle w:val="Quote"/>
      </w:pPr>
      <w:r w:rsidRPr="00F436B2">
        <w:rPr>
          <w:rStyle w:val="legds"/>
          <w:color w:val="000000"/>
          <w:szCs w:val="24"/>
        </w:rPr>
        <w:t>(2)</w:t>
      </w:r>
      <w:r>
        <w:rPr>
          <w:rStyle w:val="legds"/>
          <w:color w:val="000000"/>
          <w:szCs w:val="24"/>
        </w:rPr>
        <w:t xml:space="preserve"> </w:t>
      </w:r>
      <w:r w:rsidRPr="00F436B2">
        <w:rPr>
          <w:rStyle w:val="legds"/>
          <w:color w:val="000000"/>
          <w:szCs w:val="24"/>
        </w:rPr>
        <w:t>The Treasury may by order do any one or more of the following—</w:t>
      </w:r>
    </w:p>
    <w:p w14:paraId="4609A82A" w14:textId="4904EC9A" w:rsidR="00F436B2" w:rsidRPr="00F436B2" w:rsidRDefault="00F436B2" w:rsidP="00EA0C29">
      <w:pPr>
        <w:pStyle w:val="Quote"/>
        <w:ind w:left="1985"/>
        <w:rPr>
          <w:rStyle w:val="legds"/>
          <w:color w:val="000000" w:themeColor="text1"/>
        </w:rPr>
      </w:pPr>
      <w:r w:rsidRPr="1540DD9B">
        <w:rPr>
          <w:rStyle w:val="legds"/>
          <w:color w:val="000000" w:themeColor="text1"/>
        </w:rPr>
        <w:t xml:space="preserve">(a) transfer to the </w:t>
      </w:r>
      <w:bookmarkStart w:id="26" w:name="_Int_dtnTLe1C"/>
      <w:r w:rsidRPr="1540DD9B">
        <w:rPr>
          <w:rStyle w:val="legds"/>
          <w:color w:val="000000" w:themeColor="text1"/>
        </w:rPr>
        <w:t>FCA</w:t>
      </w:r>
      <w:bookmarkEnd w:id="26"/>
      <w:r w:rsidRPr="1540DD9B">
        <w:rPr>
          <w:rStyle w:val="legds"/>
          <w:color w:val="000000" w:themeColor="text1"/>
        </w:rPr>
        <w:t xml:space="preserve"> functions of the OFT under any provision of CCA 1974 that remains in force;</w:t>
      </w:r>
    </w:p>
    <w:p w14:paraId="5754C1D2" w14:textId="69F87757" w:rsidR="0042314F" w:rsidRPr="0042314F" w:rsidRDefault="00F436B2" w:rsidP="00EA0C29">
      <w:pPr>
        <w:pStyle w:val="Quote"/>
        <w:ind w:left="1985"/>
        <w:rPr>
          <w:color w:val="000000"/>
          <w:szCs w:val="24"/>
        </w:rPr>
      </w:pPr>
      <w:r w:rsidRPr="00F436B2">
        <w:rPr>
          <w:rStyle w:val="legds"/>
          <w:color w:val="000000"/>
          <w:szCs w:val="24"/>
        </w:rPr>
        <w:t>(b)</w:t>
      </w:r>
      <w:r>
        <w:rPr>
          <w:rStyle w:val="legds"/>
          <w:color w:val="000000"/>
          <w:szCs w:val="24"/>
        </w:rPr>
        <w:t xml:space="preserve"> </w:t>
      </w:r>
      <w:r w:rsidRPr="00F436B2">
        <w:rPr>
          <w:rStyle w:val="legds"/>
          <w:color w:val="000000"/>
          <w:szCs w:val="24"/>
        </w:rPr>
        <w:t>provide that any specified provision of FSMA 2000 which relates to the powers or duties of the FCA in connection with the failure of any person to comply with a requirement imposed by or under FSMA 2000 is to apply, subject to any specified modifications, in connection with the failure of any person to comply with a requirement imposed by or under a specified provision of CCA 1974</w:t>
      </w:r>
      <w:r w:rsidR="0042314F">
        <w:rPr>
          <w:rStyle w:val="legds"/>
          <w:color w:val="000000"/>
          <w:szCs w:val="24"/>
        </w:rPr>
        <w:t xml:space="preserve">; </w:t>
      </w:r>
    </w:p>
    <w:p w14:paraId="07EEB062" w14:textId="15E9E1F2" w:rsidR="00F436B2" w:rsidRDefault="00F436B2" w:rsidP="00EA0C29">
      <w:pPr>
        <w:pStyle w:val="Quote"/>
        <w:rPr>
          <w:rStyle w:val="legds"/>
          <w:color w:val="000000"/>
          <w:szCs w:val="24"/>
        </w:rPr>
      </w:pPr>
      <w:r>
        <w:rPr>
          <w:rStyle w:val="legds"/>
          <w:color w:val="000000"/>
          <w:szCs w:val="24"/>
        </w:rPr>
        <w:t>…</w:t>
      </w:r>
    </w:p>
    <w:p w14:paraId="5E9E6C08" w14:textId="4D6E41F9" w:rsidR="00F436B2" w:rsidRPr="00F436B2" w:rsidRDefault="00F436B2" w:rsidP="00EA0C29">
      <w:pPr>
        <w:pStyle w:val="Quote"/>
        <w:ind w:left="1985"/>
      </w:pPr>
      <w:r w:rsidRPr="00F436B2">
        <w:rPr>
          <w:rStyle w:val="legds"/>
          <w:color w:val="000000"/>
          <w:szCs w:val="24"/>
        </w:rPr>
        <w:t>(g)</w:t>
      </w:r>
      <w:r w:rsidR="00675464">
        <w:rPr>
          <w:rStyle w:val="legds"/>
          <w:color w:val="000000"/>
          <w:szCs w:val="24"/>
        </w:rPr>
        <w:t xml:space="preserve"> </w:t>
      </w:r>
      <w:r w:rsidRPr="00F436B2">
        <w:rPr>
          <w:rStyle w:val="legds"/>
          <w:color w:val="000000"/>
          <w:szCs w:val="24"/>
        </w:rPr>
        <w:t>provide for any provision of sections 162 to 165 and 174A of CCA 1974 which relates to—</w:t>
      </w:r>
    </w:p>
    <w:p w14:paraId="7EA35D1F" w14:textId="19E5BD7C" w:rsidR="00F436B2" w:rsidRPr="00F436B2" w:rsidRDefault="00F436B2" w:rsidP="00EA0C29">
      <w:pPr>
        <w:pStyle w:val="Quote"/>
        <w:ind w:left="2268"/>
      </w:pPr>
      <w:r w:rsidRPr="1540DD9B">
        <w:rPr>
          <w:rStyle w:val="legds"/>
          <w:color w:val="000000" w:themeColor="text1"/>
        </w:rPr>
        <w:t>(i)</w:t>
      </w:r>
      <w:r w:rsidR="00675464" w:rsidRPr="1540DD9B">
        <w:rPr>
          <w:rStyle w:val="legds"/>
          <w:color w:val="000000" w:themeColor="text1"/>
        </w:rPr>
        <w:t xml:space="preserve"> </w:t>
      </w:r>
      <w:r w:rsidRPr="1540DD9B">
        <w:rPr>
          <w:rStyle w:val="legds"/>
          <w:color w:val="000000" w:themeColor="text1"/>
        </w:rPr>
        <w:t xml:space="preserve">the powers of a local weights and measures authority in Great Britain or the Department of Enterprise, </w:t>
      </w:r>
      <w:bookmarkStart w:id="27" w:name="_Int_s0UJFrYF"/>
      <w:r w:rsidRPr="1540DD9B">
        <w:rPr>
          <w:rStyle w:val="legds"/>
          <w:color w:val="000000" w:themeColor="text1"/>
        </w:rPr>
        <w:t>Trade</w:t>
      </w:r>
      <w:bookmarkEnd w:id="27"/>
      <w:r w:rsidRPr="1540DD9B">
        <w:rPr>
          <w:rStyle w:val="legds"/>
          <w:color w:val="000000" w:themeColor="text1"/>
        </w:rPr>
        <w:t xml:space="preserve"> and Investment in Northern Ireland in relation to compliance with any provision made by or under CCA 1974,</w:t>
      </w:r>
    </w:p>
    <w:p w14:paraId="0F0CF3DF" w14:textId="4B4494B7" w:rsidR="00675464" w:rsidRDefault="00675464" w:rsidP="00EA0C29">
      <w:pPr>
        <w:pStyle w:val="Quote"/>
        <w:ind w:left="2268"/>
      </w:pPr>
      <w:r>
        <w:t>…</w:t>
      </w:r>
    </w:p>
    <w:p w14:paraId="7CB933ED" w14:textId="1DA2F13A" w:rsidR="00F436B2" w:rsidRPr="00F436B2" w:rsidRDefault="00F436B2" w:rsidP="00EA0C29">
      <w:pPr>
        <w:pStyle w:val="Quote"/>
        <w:ind w:left="2268"/>
      </w:pPr>
      <w:r>
        <w:t xml:space="preserve">to apply in relation to compliance with FSMA 2000 </w:t>
      </w:r>
      <w:bookmarkStart w:id="28" w:name="_Int_xAp0lgOF"/>
      <w:r>
        <w:t>so far as</w:t>
      </w:r>
      <w:bookmarkEnd w:id="28"/>
      <w:r>
        <w:t xml:space="preserve"> relating to relevant regulated activities, in relation to the commission or suspected commission of a relevant offence or in relation to things done in the exercise of any of those powers as applied by the order;</w:t>
      </w:r>
    </w:p>
    <w:p w14:paraId="680A0887" w14:textId="210A1C01" w:rsidR="00F436B2" w:rsidRPr="00F436B2" w:rsidRDefault="00F436B2" w:rsidP="00EA0C29">
      <w:pPr>
        <w:pStyle w:val="Quote"/>
        <w:ind w:left="1985"/>
      </w:pPr>
      <w:r w:rsidRPr="00F436B2">
        <w:rPr>
          <w:rStyle w:val="legds"/>
          <w:color w:val="000000"/>
          <w:szCs w:val="24"/>
        </w:rPr>
        <w:t>(h)</w:t>
      </w:r>
      <w:r w:rsidR="00675464">
        <w:rPr>
          <w:rStyle w:val="legds"/>
          <w:color w:val="000000"/>
          <w:szCs w:val="24"/>
        </w:rPr>
        <w:t xml:space="preserve"> </w:t>
      </w:r>
      <w:r w:rsidRPr="00F436B2">
        <w:rPr>
          <w:rStyle w:val="legds"/>
          <w:color w:val="000000"/>
          <w:szCs w:val="24"/>
        </w:rPr>
        <w:t>enable local weights and measures authorities to institute proceedings in England and Wales for a relevant offence;</w:t>
      </w:r>
    </w:p>
    <w:p w14:paraId="266CCF74" w14:textId="2665BDFD" w:rsidR="00675464" w:rsidRDefault="00675464" w:rsidP="00CD14C7">
      <w:pPr>
        <w:pStyle w:val="Quote"/>
        <w:rPr>
          <w:rStyle w:val="legds"/>
          <w:color w:val="000000"/>
          <w:szCs w:val="24"/>
        </w:rPr>
      </w:pPr>
      <w:r>
        <w:rPr>
          <w:rStyle w:val="legds"/>
          <w:color w:val="000000"/>
          <w:szCs w:val="24"/>
        </w:rPr>
        <w:t>…</w:t>
      </w:r>
    </w:p>
    <w:p w14:paraId="748D0363" w14:textId="28364A49" w:rsidR="00F436B2" w:rsidRPr="00F436B2" w:rsidRDefault="00F436B2" w:rsidP="00EA0C29">
      <w:pPr>
        <w:pStyle w:val="Quote"/>
      </w:pPr>
      <w:r w:rsidRPr="00F436B2">
        <w:rPr>
          <w:rStyle w:val="legds"/>
          <w:color w:val="000000"/>
          <w:szCs w:val="24"/>
        </w:rPr>
        <w:lastRenderedPageBreak/>
        <w:t>(4)</w:t>
      </w:r>
      <w:r w:rsidR="00675464">
        <w:rPr>
          <w:rStyle w:val="legds"/>
          <w:color w:val="000000"/>
          <w:szCs w:val="24"/>
        </w:rPr>
        <w:t xml:space="preserve"> </w:t>
      </w:r>
      <w:r w:rsidRPr="00F436B2">
        <w:rPr>
          <w:rStyle w:val="legds"/>
          <w:color w:val="000000"/>
          <w:szCs w:val="24"/>
        </w:rPr>
        <w:t xml:space="preserve">In </w:t>
      </w:r>
      <w:r w:rsidRPr="00675464">
        <w:rPr>
          <w:rStyle w:val="legds"/>
          <w:szCs w:val="24"/>
        </w:rPr>
        <w:t>subsection </w:t>
      </w:r>
      <w:hyperlink r:id="rId17" w:anchor="section-107-2-g" w:tooltip="Go to s. 107(2)(g)" w:history="1">
        <w:r w:rsidRPr="00675464">
          <w:rPr>
            <w:rStyle w:val="Hyperlink"/>
            <w:color w:val="auto"/>
            <w:szCs w:val="24"/>
            <w:u w:val="none"/>
          </w:rPr>
          <w:t>(2)(g)</w:t>
        </w:r>
      </w:hyperlink>
      <w:r w:rsidRPr="00675464">
        <w:rPr>
          <w:rStyle w:val="legds"/>
          <w:szCs w:val="24"/>
        </w:rPr>
        <w:t> to </w:t>
      </w:r>
      <w:hyperlink r:id="rId18" w:anchor="section-107-2-i" w:tooltip="Go to s. 107(2)(i)" w:history="1">
        <w:r w:rsidRPr="00675464">
          <w:rPr>
            <w:rStyle w:val="Hyperlink"/>
            <w:color w:val="auto"/>
            <w:szCs w:val="24"/>
            <w:u w:val="none"/>
          </w:rPr>
          <w:t>(i)</w:t>
        </w:r>
      </w:hyperlink>
      <w:r w:rsidRPr="00F436B2">
        <w:rPr>
          <w:rStyle w:val="legds"/>
          <w:color w:val="000000"/>
          <w:szCs w:val="24"/>
        </w:rPr>
        <w:t>—</w:t>
      </w:r>
    </w:p>
    <w:p w14:paraId="60C7DA5C" w14:textId="0F6CEBA7" w:rsidR="00F436B2" w:rsidRPr="00F436B2" w:rsidRDefault="00F436B2" w:rsidP="00EA0C29">
      <w:pPr>
        <w:pStyle w:val="Quote"/>
        <w:ind w:left="1985"/>
      </w:pPr>
      <w:r w:rsidRPr="00F436B2">
        <w:rPr>
          <w:rStyle w:val="legds"/>
          <w:color w:val="000000"/>
          <w:szCs w:val="24"/>
        </w:rPr>
        <w:t>(a)</w:t>
      </w:r>
      <w:r w:rsidR="00675464">
        <w:rPr>
          <w:rStyle w:val="legds"/>
          <w:color w:val="000000"/>
          <w:szCs w:val="24"/>
        </w:rPr>
        <w:t xml:space="preserve"> </w:t>
      </w:r>
      <w:r w:rsidRPr="00F436B2">
        <w:rPr>
          <w:rStyle w:val="legds"/>
          <w:color w:val="000000"/>
          <w:szCs w:val="24"/>
        </w:rPr>
        <w:t>“relevant regulated activity” means an activity that is a regulated activity for the purposes of FSMA 2000 by virtue of—</w:t>
      </w:r>
    </w:p>
    <w:p w14:paraId="6E10DCC0" w14:textId="60991745" w:rsidR="00F436B2" w:rsidRPr="00F436B2" w:rsidRDefault="00F436B2" w:rsidP="00EA0C29">
      <w:pPr>
        <w:pStyle w:val="Quote"/>
        <w:ind w:left="2268"/>
      </w:pPr>
      <w:r w:rsidRPr="00F436B2">
        <w:rPr>
          <w:rStyle w:val="legds"/>
          <w:color w:val="000000"/>
          <w:szCs w:val="24"/>
        </w:rPr>
        <w:t>(i)</w:t>
      </w:r>
      <w:r w:rsidR="00675464">
        <w:rPr>
          <w:rStyle w:val="legds"/>
          <w:color w:val="000000"/>
          <w:szCs w:val="24"/>
        </w:rPr>
        <w:t xml:space="preserve"> </w:t>
      </w:r>
      <w:r w:rsidRPr="00F436B2">
        <w:rPr>
          <w:rStyle w:val="legds"/>
          <w:color w:val="000000"/>
          <w:szCs w:val="24"/>
        </w:rPr>
        <w:t>an order made under section 22(1) of that Act in relation to an investment of a kind falling within paragraph 23 or 23B of Schedule 2 to that Act, or</w:t>
      </w:r>
    </w:p>
    <w:p w14:paraId="17F1B015" w14:textId="6C1E9558" w:rsidR="00F436B2" w:rsidRPr="00F436B2" w:rsidRDefault="00F436B2" w:rsidP="00EA0C29">
      <w:pPr>
        <w:pStyle w:val="Quote"/>
        <w:ind w:left="2268"/>
      </w:pPr>
      <w:r w:rsidRPr="1540DD9B">
        <w:rPr>
          <w:rStyle w:val="legds"/>
          <w:color w:val="000000" w:themeColor="text1"/>
        </w:rPr>
        <w:t>(ii)</w:t>
      </w:r>
      <w:r w:rsidR="00675464" w:rsidRPr="1540DD9B">
        <w:rPr>
          <w:rStyle w:val="legds"/>
          <w:color w:val="000000" w:themeColor="text1"/>
        </w:rPr>
        <w:t xml:space="preserve"> </w:t>
      </w:r>
      <w:r w:rsidRPr="1540DD9B">
        <w:rPr>
          <w:rStyle w:val="legds"/>
          <w:color w:val="000000" w:themeColor="text1"/>
        </w:rPr>
        <w:t>an order made under section 22(1A)(a) of that Act;</w:t>
      </w:r>
    </w:p>
    <w:p w14:paraId="2DFCD2B2" w14:textId="6C5444A8" w:rsidR="00F436B2" w:rsidRPr="00F436B2" w:rsidRDefault="00F436B2" w:rsidP="00EA0C29">
      <w:pPr>
        <w:pStyle w:val="Quote"/>
        <w:ind w:left="1985"/>
      </w:pPr>
      <w:r w:rsidRPr="00F436B2">
        <w:rPr>
          <w:rStyle w:val="legds"/>
          <w:color w:val="000000"/>
          <w:szCs w:val="24"/>
        </w:rPr>
        <w:t>(b)</w:t>
      </w:r>
      <w:r w:rsidR="00675464">
        <w:rPr>
          <w:rStyle w:val="legds"/>
          <w:color w:val="000000"/>
          <w:szCs w:val="24"/>
        </w:rPr>
        <w:t xml:space="preserve"> </w:t>
      </w:r>
      <w:r w:rsidRPr="00F436B2">
        <w:rPr>
          <w:rStyle w:val="legds"/>
          <w:color w:val="000000"/>
          <w:szCs w:val="24"/>
        </w:rPr>
        <w:t>“relevant offence” means an offence under FSMA 2000 committed in relation to such an activity.</w:t>
      </w:r>
    </w:p>
    <w:p w14:paraId="23BBBF8C" w14:textId="0D0275D0" w:rsidR="00675464" w:rsidRDefault="00675464" w:rsidP="00CD14C7">
      <w:pPr>
        <w:pStyle w:val="Quote"/>
        <w:rPr>
          <w:rStyle w:val="legds"/>
          <w:color w:val="000000"/>
          <w:szCs w:val="24"/>
        </w:rPr>
      </w:pPr>
      <w:r>
        <w:rPr>
          <w:rStyle w:val="legds"/>
          <w:color w:val="000000"/>
          <w:szCs w:val="24"/>
        </w:rPr>
        <w:t>…</w:t>
      </w:r>
    </w:p>
    <w:p w14:paraId="528D6B06" w14:textId="326E710C" w:rsidR="00F436B2" w:rsidRPr="00F436B2" w:rsidRDefault="00F436B2" w:rsidP="00EA0C29">
      <w:pPr>
        <w:pStyle w:val="Quote"/>
      </w:pPr>
      <w:r w:rsidRPr="00F436B2">
        <w:rPr>
          <w:rStyle w:val="legds"/>
          <w:color w:val="000000"/>
          <w:szCs w:val="24"/>
        </w:rPr>
        <w:t>(7)</w:t>
      </w:r>
      <w:r w:rsidR="00675464">
        <w:rPr>
          <w:rStyle w:val="legds"/>
          <w:color w:val="000000"/>
          <w:szCs w:val="24"/>
        </w:rPr>
        <w:t xml:space="preserve"> </w:t>
      </w:r>
      <w:r w:rsidRPr="00F436B2">
        <w:rPr>
          <w:rStyle w:val="legds"/>
          <w:color w:val="000000"/>
          <w:szCs w:val="24"/>
        </w:rPr>
        <w:t>In exercising their powers under this section, the Treasury must have regard to—</w:t>
      </w:r>
    </w:p>
    <w:p w14:paraId="164FAFA8" w14:textId="51F3B3F2" w:rsidR="00F436B2" w:rsidRPr="00F436B2" w:rsidRDefault="00F436B2" w:rsidP="00EA0C29">
      <w:pPr>
        <w:pStyle w:val="Quote"/>
        <w:ind w:left="1985"/>
      </w:pPr>
      <w:r w:rsidRPr="00F436B2">
        <w:rPr>
          <w:rStyle w:val="legds"/>
          <w:color w:val="000000"/>
          <w:szCs w:val="24"/>
        </w:rPr>
        <w:t>(a)</w:t>
      </w:r>
      <w:r w:rsidR="00675464">
        <w:rPr>
          <w:rStyle w:val="legds"/>
          <w:color w:val="000000"/>
          <w:szCs w:val="24"/>
        </w:rPr>
        <w:t xml:space="preserve"> </w:t>
      </w:r>
      <w:r w:rsidRPr="00F436B2">
        <w:rPr>
          <w:rStyle w:val="legds"/>
          <w:color w:val="000000"/>
          <w:szCs w:val="24"/>
        </w:rPr>
        <w:t>the importance of securing an appropriate degree of protection for consumers, and</w:t>
      </w:r>
    </w:p>
    <w:p w14:paraId="50D619DA" w14:textId="7EC523A7" w:rsidR="00F436B2" w:rsidRDefault="00675464" w:rsidP="00EA0C29">
      <w:pPr>
        <w:pStyle w:val="Quote"/>
        <w:ind w:left="1985"/>
      </w:pPr>
      <w:r>
        <w:rPr>
          <w:rStyle w:val="legds"/>
          <w:color w:val="000000"/>
          <w:szCs w:val="24"/>
        </w:rPr>
        <w:t>..</w:t>
      </w:r>
      <w:r w:rsidR="00F436B2" w:rsidRPr="00F436B2">
        <w:rPr>
          <w:rStyle w:val="legds"/>
          <w:color w:val="000000"/>
          <w:szCs w:val="24"/>
        </w:rPr>
        <w:t>.</w:t>
      </w:r>
      <w:r w:rsidR="00F436B2" w:rsidRPr="00F436B2">
        <w:t>”</w:t>
      </w:r>
    </w:p>
    <w:p w14:paraId="6BF5BD91" w14:textId="3BB499CA" w:rsidR="00675464" w:rsidRDefault="00675464" w:rsidP="00EA0C29">
      <w:pPr>
        <w:pStyle w:val="ParaLevel1"/>
      </w:pPr>
      <w:r>
        <w:t xml:space="preserve">Section 39 of the CCA 1974 was repealed by subordinate legislation made under FSMA 2000 with effect from </w:t>
      </w:r>
      <w:r w:rsidR="007D10C6">
        <w:t xml:space="preserve">1 </w:t>
      </w:r>
      <w:r>
        <w:t xml:space="preserve">April 2014. </w:t>
      </w:r>
      <w:r w:rsidR="007679EE">
        <w:t>I</w:t>
      </w:r>
      <w:r>
        <w:t xml:space="preserve">llegal moneylending became an offence </w:t>
      </w:r>
      <w:r w:rsidR="00860601">
        <w:t xml:space="preserve">contrary to section 23 of </w:t>
      </w:r>
      <w:r>
        <w:t>FSMA 2000</w:t>
      </w:r>
      <w:r w:rsidR="007679EE">
        <w:t xml:space="preserve"> on the same day</w:t>
      </w:r>
      <w:r>
        <w:t xml:space="preserve"> and a “relevant offence” for the purposes of section 107(4)(b) of the FSA 2012.</w:t>
      </w:r>
    </w:p>
    <w:p w14:paraId="25F130BB" w14:textId="0516ED00" w:rsidR="00675464" w:rsidRDefault="00675464" w:rsidP="00EA0C29">
      <w:pPr>
        <w:pStyle w:val="ParaLevel1"/>
      </w:pPr>
      <w:r>
        <w:t xml:space="preserve">It may be seen that section 107(2)(h) of the FSA 2012 conferred a specific power on the Treasury to enact secondary legislation enabling local weights and measures authorities to prosecute “relevant offences”, including offences for illegal moneylending </w:t>
      </w:r>
      <w:r w:rsidR="00860601">
        <w:t xml:space="preserve">under FSMA 2000. </w:t>
      </w:r>
    </w:p>
    <w:p w14:paraId="0DFF006C" w14:textId="112CB389" w:rsidR="00860601" w:rsidRDefault="00860601" w:rsidP="00EA0C29">
      <w:pPr>
        <w:pStyle w:val="ParaLevel1"/>
      </w:pPr>
      <w:r>
        <w:t>The Financial Services Act 2012 (Consumer Credit) Order 2013 (2013 SI No 1882) (“the 2013 Order”) provides, by Article 9:</w:t>
      </w:r>
    </w:p>
    <w:p w14:paraId="267256F0" w14:textId="627513D7" w:rsidR="00860601" w:rsidRDefault="00860601" w:rsidP="00EA0C29">
      <w:pPr>
        <w:pStyle w:val="Quote"/>
      </w:pPr>
      <w:r>
        <w:t>“Local weights and measures authorities may institute proceedings in England Wales for a relevant offence.”</w:t>
      </w:r>
    </w:p>
    <w:p w14:paraId="761B6249" w14:textId="0FD04829" w:rsidR="00333548" w:rsidRDefault="00860601" w:rsidP="00EA0C29">
      <w:pPr>
        <w:pStyle w:val="ParaLevel1"/>
      </w:pPr>
      <w:r>
        <w:t xml:space="preserve">The contention that section 401(2) of FSMA applies to local authorities is misconceived. Before </w:t>
      </w:r>
      <w:bookmarkStart w:id="29" w:name="_Int_a7srp554"/>
      <w:r>
        <w:t>1 April 2014</w:t>
      </w:r>
      <w:bookmarkEnd w:id="29"/>
      <w:r>
        <w:t xml:space="preserve"> this provision did not apply to local authorities (section 39 of the CCA 1974 did) and after that date this provision d</w:t>
      </w:r>
      <w:r w:rsidR="009215EF">
        <w:t>oes</w:t>
      </w:r>
      <w:r>
        <w:t xml:space="preserve"> not apply (Article 9 of the 2013 does). The purpose of this latter provision </w:t>
      </w:r>
      <w:r w:rsidR="009215EF">
        <w:t>i</w:t>
      </w:r>
      <w:r>
        <w:t xml:space="preserve">s to enable </w:t>
      </w:r>
      <w:r w:rsidR="005A142A">
        <w:t>such authorities</w:t>
      </w:r>
      <w:r>
        <w:t xml:space="preserve"> to continue to do what they had done for decades: to prosecute illegal moneylending. </w:t>
      </w:r>
      <w:r w:rsidR="009215EF">
        <w:t xml:space="preserve">They were never subject to any requirement to obtain </w:t>
      </w:r>
      <w:r w:rsidR="005F719E">
        <w:t xml:space="preserve">the </w:t>
      </w:r>
      <w:r w:rsidR="009215EF">
        <w:t>DPP</w:t>
      </w:r>
      <w:r w:rsidR="005F719E">
        <w:t>’s</w:t>
      </w:r>
      <w:r w:rsidR="009215EF">
        <w:t xml:space="preserve"> consent</w:t>
      </w:r>
      <w:r w:rsidR="4F8AFB4D">
        <w:t xml:space="preserve">. </w:t>
      </w:r>
    </w:p>
    <w:p w14:paraId="4AE98063" w14:textId="4A4961DC" w:rsidR="00860601" w:rsidRDefault="004A705C" w:rsidP="00EA0C29">
      <w:pPr>
        <w:pStyle w:val="ParaLevel1"/>
      </w:pPr>
      <w:r>
        <w:t xml:space="preserve">Accordingly, </w:t>
      </w:r>
      <w:r w:rsidR="0062772F">
        <w:t xml:space="preserve">and approaching this question </w:t>
      </w:r>
      <w:r w:rsidR="00481822">
        <w:t xml:space="preserve">first </w:t>
      </w:r>
      <w:r w:rsidR="0062772F">
        <w:t>without</w:t>
      </w:r>
      <w:r w:rsidR="00481822">
        <w:t xml:space="preserve"> </w:t>
      </w:r>
      <w:r w:rsidR="0062772F">
        <w:t xml:space="preserve">reference to authority, </w:t>
      </w:r>
      <w:r>
        <w:t xml:space="preserve">we </w:t>
      </w:r>
      <w:r w:rsidR="00481822">
        <w:t>do not</w:t>
      </w:r>
      <w:r>
        <w:t xml:space="preserve"> accept the submission that section 401(2) has any relevance to the present case. </w:t>
      </w:r>
    </w:p>
    <w:p w14:paraId="7B0763DC" w14:textId="1E950A99" w:rsidR="004A705C" w:rsidRDefault="0062772F" w:rsidP="00EA0C29">
      <w:pPr>
        <w:pStyle w:val="ParaLevel1"/>
      </w:pPr>
      <w:r>
        <w:lastRenderedPageBreak/>
        <w:t xml:space="preserve">There is authority which is </w:t>
      </w:r>
      <w:bookmarkStart w:id="30" w:name="_Int_LCoe0zep"/>
      <w:r>
        <w:t>almost precisely</w:t>
      </w:r>
      <w:bookmarkEnd w:id="30"/>
      <w:r>
        <w:t xml:space="preserve"> on point. In </w:t>
      </w:r>
      <w:r w:rsidRPr="1540DD9B">
        <w:rPr>
          <w:i/>
          <w:iCs/>
        </w:rPr>
        <w:t>R v Rollins</w:t>
      </w:r>
      <w:r>
        <w:t xml:space="preserve"> [2010] UKSC 39; [2010] 1 WLR 1922, the Supreme Court addressed the power of the FSA to prosecute money laundering offences under POCA 2002. It was argued on appeal that this power was subject to section 401(2) of FSMA, and that section 402 (which we need not set out) supplied an exhaustive list of other offences the FSA could properly prosecute without</w:t>
      </w:r>
      <w:r w:rsidR="002C0790">
        <w:t xml:space="preserve"> the</w:t>
      </w:r>
      <w:r>
        <w:t xml:space="preserve"> DPP</w:t>
      </w:r>
      <w:r w:rsidR="002C0790">
        <w:t>’s</w:t>
      </w:r>
      <w:r>
        <w:t xml:space="preserve"> consent.</w:t>
      </w:r>
    </w:p>
    <w:p w14:paraId="4A542B6B" w14:textId="0F0D5DE6" w:rsidR="0062772F" w:rsidRDefault="0062772F" w:rsidP="00EA0C29">
      <w:pPr>
        <w:pStyle w:val="ParaLevel1"/>
      </w:pPr>
      <w:r>
        <w:t xml:space="preserve">Giving the judgment of the Supreme Court, </w:t>
      </w:r>
      <w:r w:rsidR="008B6111">
        <w:t>Sir John</w:t>
      </w:r>
      <w:r>
        <w:t xml:space="preserve"> Dyson JSC</w:t>
      </w:r>
      <w:r w:rsidR="008B6111">
        <w:t xml:space="preserve"> </w:t>
      </w:r>
      <w:r>
        <w:t xml:space="preserve">held that it was relevant that prior to the enactment of FSMA the FSA had had the power of a private individual to bring any prosecution which fell within the scope of its memorandum and articles of association and was not otherwise precluded (paragraph 11). The purpose of section 401(2) was not to confer the power to prosecute but to limit the persons who may prosecute for such offences (paragraph 15). </w:t>
      </w:r>
      <w:r w:rsidR="005B70EA">
        <w:t xml:space="preserve">Furthermore, this provision read in conjunction with section 402(1) should not be interpreted as establishing an exhaustive code delimiting the FSA’s power to prosecute, still less </w:t>
      </w:r>
      <w:r w:rsidR="008B6111">
        <w:t xml:space="preserve">as providing that </w:t>
      </w:r>
      <w:r w:rsidR="005B70EA">
        <w:t xml:space="preserve">unless an offence was expressly stipulated in the latter section </w:t>
      </w:r>
      <w:r w:rsidR="00DE4A11">
        <w:t xml:space="preserve">the </w:t>
      </w:r>
      <w:r w:rsidR="005B70EA">
        <w:t>DPP</w:t>
      </w:r>
      <w:r w:rsidR="00DE4A11">
        <w:t>’s</w:t>
      </w:r>
      <w:r w:rsidR="005B70EA">
        <w:t xml:space="preserve"> consent was required (paragraphs 17</w:t>
      </w:r>
      <w:r w:rsidR="00CC6D91">
        <w:t xml:space="preserve"> to </w:t>
      </w:r>
      <w:r w:rsidR="005B70EA">
        <w:t xml:space="preserve">20) </w:t>
      </w:r>
    </w:p>
    <w:p w14:paraId="70A17FF6" w14:textId="5F04FC16" w:rsidR="005B70EA" w:rsidRDefault="008B6111" w:rsidP="00EA0C29">
      <w:pPr>
        <w:pStyle w:val="ParaLevel1"/>
      </w:pPr>
      <w:r>
        <w:t>Sir John</w:t>
      </w:r>
      <w:r w:rsidR="005B70EA">
        <w:t xml:space="preserve"> Dyson set out the overall position </w:t>
      </w:r>
      <w:r w:rsidR="00CC6D91">
        <w:t>at [21]:</w:t>
      </w:r>
    </w:p>
    <w:p w14:paraId="478B8498" w14:textId="33D6A0F3" w:rsidR="005B70EA" w:rsidRDefault="005B70EA" w:rsidP="00EA0C29">
      <w:pPr>
        <w:pStyle w:val="Quote"/>
      </w:pPr>
      <w:r>
        <w:t>“</w:t>
      </w:r>
      <w:bookmarkStart w:id="31" w:name="para21"/>
      <w:r>
        <w:t xml:space="preserve">So what purpose is served by section 402(1)? It is necessary to consider each paragraph separately. </w:t>
      </w:r>
      <w:bookmarkStart w:id="32" w:name="_Int_GWApEdR7"/>
      <w:r>
        <w:t>In order to</w:t>
      </w:r>
      <w:bookmarkEnd w:id="32"/>
      <w:r>
        <w:t xml:space="preserve"> understand the reason for section 402(1)(a), regard must be had to section 61 of the Criminal Justice Act 1993 which provides for penalties and prosecutions in relation to the offence of insider dealing. Section 61(1) specifies the maximum penalties that may be imposed. Section 61(2) provides that proceedings for offences under this Part shall not be instituted in England and Wales except by or with the consent of the Secretary of State or the DPP. The effect of section 402(1)(a) and (2) in relation to prosecutions for insider dealing by the FSA is twofold. First, where a prosecution for the offence is instituted by the FSA, the need for the consent of the Secretary of State or DPP is dispensed with. It was correctly held by the Divisional Court in </w:t>
      </w:r>
      <w:r w:rsidRPr="1540DD9B">
        <w:rPr>
          <w:i/>
          <w:iCs/>
        </w:rPr>
        <w:t>R (Uberoi and another) v City of Westminster Magistrates' Court </w:t>
      </w:r>
      <w:bookmarkEnd w:id="31"/>
      <w:r>
        <w:fldChar w:fldCharType="begin"/>
      </w:r>
      <w:r>
        <w:instrText xml:space="preserve"> HYPERLINK "https://www.bailii.org/cgi-bin/redirect.cgi?path=/ew/cases/EWHC/Admin/2008/3191.html" \o "Link to BAILII version" </w:instrText>
      </w:r>
      <w:r>
        <w:fldChar w:fldCharType="separate"/>
      </w:r>
      <w:r w:rsidRPr="1540DD9B">
        <w:rPr>
          <w:rStyle w:val="Hyperlink"/>
          <w:color w:val="auto"/>
          <w:u w:val="none"/>
        </w:rPr>
        <w:t>[2009] 1 WLR 1905</w:t>
      </w:r>
      <w:r>
        <w:fldChar w:fldCharType="end"/>
      </w:r>
      <w:r>
        <w:t> at para 29 that the effect of section 402(1)(a) is that the FSA can prosecute offences of insider dealing without first obtaining consent of the Secretary of State or the DPP. Sir Anthony May P reached this conclusion by construing "may institute" in section 402(1) as having the same meaning as "may be instituted by" in section 401(2). But the better view is simply that the effect of the plain language of section 402(1)(a) is to dispense with the requirement for consent imposed by section 61(2) of the 1993 Act. Secondly, in prosecuting for this (and any other offence under section 402(1)), the FSA must comply with any conditions or restrictions imposed in writing by the Treasury.”</w:t>
      </w:r>
    </w:p>
    <w:p w14:paraId="4BE966AA" w14:textId="08AF6F2D" w:rsidR="005B70EA" w:rsidRDefault="00385A9D" w:rsidP="00EA0C29">
      <w:pPr>
        <w:pStyle w:val="ParaLevel1"/>
        <w:rPr>
          <w:lang w:eastAsia="en-GB"/>
        </w:rPr>
      </w:pPr>
      <w:r w:rsidRPr="1540DD9B">
        <w:rPr>
          <w:i/>
          <w:iCs/>
          <w:lang w:eastAsia="en-GB"/>
        </w:rPr>
        <w:t>Rollins</w:t>
      </w:r>
      <w:r w:rsidRPr="1540DD9B">
        <w:rPr>
          <w:lang w:eastAsia="en-GB"/>
        </w:rPr>
        <w:t xml:space="preserve"> does not provide a complete answer to this issue</w:t>
      </w:r>
      <w:r w:rsidR="008B6111" w:rsidRPr="1540DD9B">
        <w:rPr>
          <w:lang w:eastAsia="en-GB"/>
        </w:rPr>
        <w:t xml:space="preserve"> because we are not addressing the scope of section 402</w:t>
      </w:r>
      <w:r w:rsidRPr="1540DD9B">
        <w:rPr>
          <w:lang w:eastAsia="en-GB"/>
        </w:rPr>
        <w:t xml:space="preserve">. However, if anything, the instant case is </w:t>
      </w:r>
      <w:r w:rsidR="00537243" w:rsidRPr="1540DD9B">
        <w:rPr>
          <w:lang w:eastAsia="en-GB"/>
        </w:rPr>
        <w:t xml:space="preserve">stronger </w:t>
      </w:r>
      <w:r w:rsidR="001055A1" w:rsidRPr="1540DD9B">
        <w:rPr>
          <w:lang w:eastAsia="en-GB"/>
        </w:rPr>
        <w:t xml:space="preserve">because the </w:t>
      </w:r>
      <w:r w:rsidRPr="1540DD9B">
        <w:rPr>
          <w:lang w:eastAsia="en-GB"/>
        </w:rPr>
        <w:t xml:space="preserve">argument that the relevant sections of FSMA provide a complete code is </w:t>
      </w:r>
      <w:r w:rsidR="008B6111" w:rsidRPr="1540DD9B">
        <w:rPr>
          <w:lang w:eastAsia="en-GB"/>
        </w:rPr>
        <w:t xml:space="preserve">inapplicable to the present </w:t>
      </w:r>
      <w:r w:rsidRPr="1540DD9B">
        <w:rPr>
          <w:lang w:eastAsia="en-GB"/>
        </w:rPr>
        <w:t>situation</w:t>
      </w:r>
      <w:r w:rsidR="00537243" w:rsidRPr="1540DD9B">
        <w:rPr>
          <w:lang w:eastAsia="en-GB"/>
        </w:rPr>
        <w:t>. T</w:t>
      </w:r>
      <w:r w:rsidRPr="1540DD9B">
        <w:rPr>
          <w:lang w:eastAsia="en-GB"/>
        </w:rPr>
        <w:t xml:space="preserve">he source of the power to prosecute resides in separate </w:t>
      </w:r>
      <w:r w:rsidRPr="1540DD9B">
        <w:rPr>
          <w:lang w:eastAsia="en-GB"/>
        </w:rPr>
        <w:lastRenderedPageBreak/>
        <w:t xml:space="preserve">legislation setting out the </w:t>
      </w:r>
      <w:r w:rsidRPr="1540DD9B">
        <w:rPr>
          <w:i/>
          <w:iCs/>
          <w:lang w:eastAsia="en-GB"/>
        </w:rPr>
        <w:t>vires</w:t>
      </w:r>
      <w:r w:rsidRPr="1540DD9B">
        <w:rPr>
          <w:lang w:eastAsia="en-GB"/>
        </w:rPr>
        <w:t xml:space="preserve"> for secondary legislation covering any “relevant offence</w:t>
      </w:r>
      <w:bookmarkStart w:id="33" w:name="_Int_fcaq5QDJ"/>
      <w:r w:rsidRPr="1540DD9B">
        <w:rPr>
          <w:lang w:eastAsia="en-GB"/>
        </w:rPr>
        <w:t>”,</w:t>
      </w:r>
      <w:bookmarkEnd w:id="33"/>
      <w:r w:rsidRPr="1540DD9B">
        <w:rPr>
          <w:lang w:eastAsia="en-GB"/>
        </w:rPr>
        <w:t xml:space="preserve"> of which moneylending is clearly an example. As in </w:t>
      </w:r>
      <w:r w:rsidRPr="1540DD9B">
        <w:rPr>
          <w:i/>
          <w:iCs/>
          <w:lang w:eastAsia="en-GB"/>
        </w:rPr>
        <w:t>Rollins</w:t>
      </w:r>
      <w:r w:rsidRPr="1540DD9B">
        <w:rPr>
          <w:lang w:eastAsia="en-GB"/>
        </w:rPr>
        <w:t xml:space="preserve">, that </w:t>
      </w:r>
      <w:r w:rsidR="008B6111" w:rsidRPr="1540DD9B">
        <w:rPr>
          <w:lang w:eastAsia="en-GB"/>
        </w:rPr>
        <w:t xml:space="preserve">separate </w:t>
      </w:r>
      <w:r w:rsidRPr="1540DD9B">
        <w:rPr>
          <w:lang w:eastAsia="en-GB"/>
        </w:rPr>
        <w:t>prosecutorial power is not subject to the express constraint of section 401(2).</w:t>
      </w:r>
    </w:p>
    <w:p w14:paraId="3689C69E" w14:textId="3C0C1F94" w:rsidR="00385A9D" w:rsidRDefault="3D410EEB" w:rsidP="00EA0C29">
      <w:pPr>
        <w:pStyle w:val="ParaLevel1"/>
        <w:rPr>
          <w:lang w:eastAsia="en-GB"/>
        </w:rPr>
      </w:pPr>
      <w:r w:rsidRPr="6FDC3C26">
        <w:rPr>
          <w:lang w:eastAsia="en-GB"/>
        </w:rPr>
        <w:t>If</w:t>
      </w:r>
      <w:r w:rsidR="00385A9D" w:rsidRPr="6FDC3C26">
        <w:rPr>
          <w:lang w:eastAsia="en-GB"/>
        </w:rPr>
        <w:t xml:space="preserve"> ambiguity were thought to exist, Mr Barracl</w:t>
      </w:r>
      <w:r w:rsidR="008B6111" w:rsidRPr="6FDC3C26">
        <w:rPr>
          <w:lang w:eastAsia="en-GB"/>
        </w:rPr>
        <w:t>o</w:t>
      </w:r>
      <w:r w:rsidR="00385A9D" w:rsidRPr="6FDC3C26">
        <w:rPr>
          <w:lang w:eastAsia="en-GB"/>
        </w:rPr>
        <w:t>ugh draws attention to the Explanatory Note on section 107(2) of the FSA 2012: see</w:t>
      </w:r>
      <w:r w:rsidR="00014B5D" w:rsidRPr="6FDC3C26">
        <w:rPr>
          <w:lang w:eastAsia="en-GB"/>
        </w:rPr>
        <w:t xml:space="preserve"> the principle set forth in</w:t>
      </w:r>
      <w:r w:rsidR="00385A9D" w:rsidRPr="6FDC3C26">
        <w:rPr>
          <w:lang w:eastAsia="en-GB"/>
        </w:rPr>
        <w:t xml:space="preserve"> </w:t>
      </w:r>
      <w:r w:rsidR="00385A9D" w:rsidRPr="6FDC3C26">
        <w:rPr>
          <w:i/>
          <w:iCs/>
          <w:lang w:eastAsia="en-GB"/>
        </w:rPr>
        <w:t>R (D and another) v Secretary of State for Work and Pensions</w:t>
      </w:r>
      <w:r w:rsidR="00385A9D" w:rsidRPr="6FDC3C26">
        <w:rPr>
          <w:lang w:eastAsia="en-GB"/>
        </w:rPr>
        <w:t xml:space="preserve"> [2010] 1 WLR 1782, at paragraphs 44</w:t>
      </w:r>
      <w:r w:rsidR="008B171F" w:rsidRPr="6FDC3C26">
        <w:rPr>
          <w:lang w:eastAsia="en-GB"/>
        </w:rPr>
        <w:t xml:space="preserve"> to </w:t>
      </w:r>
      <w:r w:rsidR="00385A9D" w:rsidRPr="6FDC3C26">
        <w:rPr>
          <w:lang w:eastAsia="en-GB"/>
        </w:rPr>
        <w:t xml:space="preserve">51. </w:t>
      </w:r>
      <w:r w:rsidR="003622BB" w:rsidRPr="6FDC3C26">
        <w:rPr>
          <w:lang w:eastAsia="en-GB"/>
        </w:rPr>
        <w:t xml:space="preserve">We are satisfied that there is no ambiguity surrounding the true construction of this provision, but had we come to a different view it may be pointed out that the </w:t>
      </w:r>
      <w:r w:rsidR="008B6111" w:rsidRPr="6FDC3C26">
        <w:rPr>
          <w:lang w:eastAsia="en-GB"/>
        </w:rPr>
        <w:t xml:space="preserve">Explanatory </w:t>
      </w:r>
      <w:r w:rsidR="003622BB" w:rsidRPr="6FDC3C26">
        <w:rPr>
          <w:lang w:eastAsia="en-GB"/>
        </w:rPr>
        <w:t>Note</w:t>
      </w:r>
      <w:r w:rsidR="008B6111" w:rsidRPr="6FDC3C26">
        <w:rPr>
          <w:lang w:eastAsia="en-GB"/>
        </w:rPr>
        <w:t xml:space="preserve"> </w:t>
      </w:r>
      <w:r w:rsidR="003622BB" w:rsidRPr="6FDC3C26">
        <w:rPr>
          <w:lang w:eastAsia="en-GB"/>
        </w:rPr>
        <w:t>make</w:t>
      </w:r>
      <w:r w:rsidR="008F70AB" w:rsidRPr="6FDC3C26">
        <w:rPr>
          <w:lang w:eastAsia="en-GB"/>
        </w:rPr>
        <w:t>s</w:t>
      </w:r>
      <w:r w:rsidR="003622BB" w:rsidRPr="6FDC3C26">
        <w:rPr>
          <w:lang w:eastAsia="en-GB"/>
        </w:rPr>
        <w:t xml:space="preserve"> clear, from the perspective of the sponsoring government department at least, that </w:t>
      </w:r>
      <w:r w:rsidR="008F70AB" w:rsidRPr="6FDC3C26">
        <w:rPr>
          <w:lang w:eastAsia="en-GB"/>
        </w:rPr>
        <w:t>weights and measures authorities</w:t>
      </w:r>
      <w:r w:rsidR="003622BB" w:rsidRPr="6FDC3C26">
        <w:rPr>
          <w:lang w:eastAsia="en-GB"/>
        </w:rPr>
        <w:t xml:space="preserve"> may prosecute in this domain without</w:t>
      </w:r>
      <w:r w:rsidR="005A0378" w:rsidRPr="6FDC3C26">
        <w:rPr>
          <w:lang w:eastAsia="en-GB"/>
        </w:rPr>
        <w:t xml:space="preserve"> the</w:t>
      </w:r>
      <w:r w:rsidR="003622BB" w:rsidRPr="6FDC3C26">
        <w:rPr>
          <w:lang w:eastAsia="en-GB"/>
        </w:rPr>
        <w:t xml:space="preserve"> DPP</w:t>
      </w:r>
      <w:r w:rsidR="005A0378" w:rsidRPr="6FDC3C26">
        <w:rPr>
          <w:lang w:eastAsia="en-GB"/>
        </w:rPr>
        <w:t xml:space="preserve">’s </w:t>
      </w:r>
      <w:r w:rsidR="003622BB" w:rsidRPr="6FDC3C26">
        <w:rPr>
          <w:lang w:eastAsia="en-GB"/>
        </w:rPr>
        <w:t>consent.</w:t>
      </w:r>
    </w:p>
    <w:p w14:paraId="5B58EC99" w14:textId="480D49FE" w:rsidR="003622BB" w:rsidRDefault="003622BB" w:rsidP="00EA0C29">
      <w:pPr>
        <w:pStyle w:val="ParaLevel1"/>
        <w:rPr>
          <w:lang w:eastAsia="en-GB"/>
        </w:rPr>
      </w:pPr>
      <w:r>
        <w:rPr>
          <w:lang w:eastAsia="en-GB"/>
        </w:rPr>
        <w:t xml:space="preserve">It follows that the second issue must be resolved in favour of Birmingham. </w:t>
      </w:r>
    </w:p>
    <w:p w14:paraId="40DC5E2E" w14:textId="65D2237C" w:rsidR="00C5535A" w:rsidRPr="00D91AC3" w:rsidRDefault="00C5535A" w:rsidP="00EA0C29">
      <w:pPr>
        <w:pStyle w:val="ParaLevel1"/>
        <w:numPr>
          <w:ilvl w:val="0"/>
          <w:numId w:val="0"/>
        </w:numPr>
        <w:rPr>
          <w:b/>
          <w:bCs/>
          <w:lang w:eastAsia="en-GB"/>
        </w:rPr>
      </w:pPr>
      <w:r w:rsidRPr="00D91AC3">
        <w:rPr>
          <w:b/>
          <w:bCs/>
          <w:lang w:eastAsia="en-GB"/>
        </w:rPr>
        <w:t>The Third Issue</w:t>
      </w:r>
      <w:r w:rsidR="00D91AC3" w:rsidRPr="00D91AC3">
        <w:rPr>
          <w:b/>
          <w:bCs/>
          <w:lang w:eastAsia="en-GB"/>
        </w:rPr>
        <w:t>: HHJ Burn’s “Indication” in the York Case</w:t>
      </w:r>
    </w:p>
    <w:p w14:paraId="2A2397B1" w14:textId="29D1678F" w:rsidR="00DC569D" w:rsidRDefault="00C5535A" w:rsidP="00EA0C29">
      <w:pPr>
        <w:pStyle w:val="ParaLevel1"/>
        <w:rPr>
          <w:lang w:eastAsia="en-GB"/>
        </w:rPr>
      </w:pPr>
      <w:r w:rsidRPr="00D91AC3">
        <w:t>By s</w:t>
      </w:r>
      <w:r w:rsidR="009421FF">
        <w:t xml:space="preserve">ection </w:t>
      </w:r>
      <w:r w:rsidRPr="00D91AC3">
        <w:t>31(3)(c) of the Criminal Procedure and Investigations Act 1996 (</w:t>
      </w:r>
      <w:r w:rsidR="00DC569D">
        <w:t xml:space="preserve">“the </w:t>
      </w:r>
      <w:r w:rsidRPr="00D91AC3">
        <w:t>CPIA</w:t>
      </w:r>
      <w:r w:rsidR="00DC569D">
        <w:t>”</w:t>
      </w:r>
      <w:r w:rsidRPr="00D91AC3">
        <w:t xml:space="preserve">) a judge at a preparatory hearing may make a ruling </w:t>
      </w:r>
      <w:r w:rsidR="005A0378">
        <w:t>on</w:t>
      </w:r>
      <w:r w:rsidRPr="00D91AC3">
        <w:t xml:space="preserve"> a question as to the severance or joinder of charges. </w:t>
      </w:r>
    </w:p>
    <w:p w14:paraId="6722D8FE" w14:textId="15DCE618" w:rsidR="004F4E54" w:rsidRDefault="00C5535A" w:rsidP="00EA0C29">
      <w:pPr>
        <w:pStyle w:val="ParaLevel1"/>
        <w:rPr>
          <w:lang w:eastAsia="en-GB"/>
        </w:rPr>
      </w:pPr>
      <w:r w:rsidRPr="004F4E54">
        <w:t>By s</w:t>
      </w:r>
      <w:r w:rsidR="009421FF">
        <w:t xml:space="preserve">ection </w:t>
      </w:r>
      <w:r w:rsidRPr="004F4E54">
        <w:t>35(1) of the CPIA an appeal shall lie to the Court of Appeal from any ruling of a judge under s</w:t>
      </w:r>
      <w:r w:rsidR="009421FF">
        <w:t xml:space="preserve">ection </w:t>
      </w:r>
      <w:r w:rsidRPr="004F4E54">
        <w:t>31(3) of the Act but only with the leave of the judge or the Court of Appeal</w:t>
      </w:r>
      <w:r w:rsidR="004F4E54">
        <w:t>.</w:t>
      </w:r>
    </w:p>
    <w:p w14:paraId="57E5EA88" w14:textId="2F41F9DC" w:rsidR="000A1A4A" w:rsidRPr="000A1A4A" w:rsidRDefault="00C5535A" w:rsidP="00EA0C29">
      <w:pPr>
        <w:pStyle w:val="ParaLevel1"/>
        <w:rPr>
          <w:lang w:eastAsia="en-GB"/>
        </w:rPr>
      </w:pPr>
      <w:r>
        <w:t xml:space="preserve">It follows that </w:t>
      </w:r>
      <w:r w:rsidR="008F7A45">
        <w:t>the judge</w:t>
      </w:r>
      <w:r>
        <w:t xml:space="preserve"> must have made a ruling on an issue under s</w:t>
      </w:r>
      <w:r w:rsidR="009421FF">
        <w:t xml:space="preserve">ection </w:t>
      </w:r>
      <w:r>
        <w:t xml:space="preserve">31(3) before this court has any </w:t>
      </w:r>
      <w:bookmarkStart w:id="34" w:name="_Int_o1yZiDMY"/>
      <w:r>
        <w:t>jurisdiction</w:t>
      </w:r>
      <w:bookmarkEnd w:id="34"/>
      <w:r>
        <w:t xml:space="preserve"> to hear an appeal. The question arises in this case as to whether </w:t>
      </w:r>
      <w:r w:rsidR="00057144">
        <w:t>the judge</w:t>
      </w:r>
      <w:r>
        <w:t xml:space="preserve"> </w:t>
      </w:r>
      <w:r w:rsidRPr="1540DD9B">
        <w:rPr>
          <w:u w:val="single"/>
        </w:rPr>
        <w:t>made a ruling</w:t>
      </w:r>
      <w:r>
        <w:t xml:space="preserve"> in the preparatory hearing that the </w:t>
      </w:r>
      <w:r w:rsidR="00057144">
        <w:t>p</w:t>
      </w:r>
      <w:r>
        <w:t>rosecution should elect between the conspiracy to defraud counts (1 and 4) on the one hand and the money laundering counts (3, 5 and 6) on the other in respect of B</w:t>
      </w:r>
      <w:r w:rsidR="00DD4909">
        <w:t>IM</w:t>
      </w:r>
      <w:r w:rsidR="000A1A4A">
        <w:t>,</w:t>
      </w:r>
      <w:r>
        <w:t xml:space="preserve"> and that he would order severance of the counts if they did not.</w:t>
      </w:r>
      <w:r w:rsidRPr="1540DD9B">
        <w:rPr>
          <w:i/>
          <w:iCs/>
        </w:rPr>
        <w:t xml:space="preserve"> </w:t>
      </w:r>
    </w:p>
    <w:p w14:paraId="3D9E7B22" w14:textId="6A397416" w:rsidR="000A1A4A" w:rsidRPr="000A1A4A" w:rsidRDefault="000A1A4A" w:rsidP="00EA0C29">
      <w:pPr>
        <w:pStyle w:val="ParaLevel1"/>
        <w:numPr>
          <w:ilvl w:val="0"/>
          <w:numId w:val="0"/>
        </w:numPr>
        <w:rPr>
          <w:i/>
          <w:iCs/>
        </w:rPr>
      </w:pPr>
      <w:r w:rsidRPr="6FDC3C26">
        <w:rPr>
          <w:i/>
          <w:iCs/>
        </w:rPr>
        <w:t xml:space="preserve">The issue at the </w:t>
      </w:r>
      <w:r w:rsidR="4E6B39ED" w:rsidRPr="6FDC3C26">
        <w:rPr>
          <w:i/>
          <w:iCs/>
        </w:rPr>
        <w:t>P</w:t>
      </w:r>
      <w:r w:rsidRPr="6FDC3C26">
        <w:rPr>
          <w:i/>
          <w:iCs/>
        </w:rPr>
        <w:t xml:space="preserve">reparatory </w:t>
      </w:r>
      <w:r w:rsidR="142A27DE" w:rsidRPr="6FDC3C26">
        <w:rPr>
          <w:i/>
          <w:iCs/>
        </w:rPr>
        <w:t>H</w:t>
      </w:r>
      <w:r w:rsidRPr="6FDC3C26">
        <w:rPr>
          <w:i/>
          <w:iCs/>
        </w:rPr>
        <w:t>earing</w:t>
      </w:r>
    </w:p>
    <w:p w14:paraId="3200C20B" w14:textId="6220DF02" w:rsidR="00C96984" w:rsidRPr="00C96984" w:rsidRDefault="00C5535A" w:rsidP="00EA0C29">
      <w:pPr>
        <w:pStyle w:val="ParaLevel1"/>
        <w:rPr>
          <w:lang w:eastAsia="en-GB"/>
        </w:rPr>
      </w:pPr>
      <w:r w:rsidRPr="000A1A4A">
        <w:rPr>
          <w:szCs w:val="24"/>
        </w:rPr>
        <w:t>At the end of his judgment following the preparatory hearing HHJ Burn said this:</w:t>
      </w:r>
    </w:p>
    <w:p w14:paraId="221846B7" w14:textId="63EF7DFC" w:rsidR="00C96984" w:rsidRPr="00C96984" w:rsidRDefault="00C96984" w:rsidP="00EA0C29">
      <w:pPr>
        <w:pStyle w:val="Quote"/>
        <w:rPr>
          <w:lang w:eastAsia="en-GB"/>
        </w:rPr>
      </w:pPr>
      <w:r>
        <w:t xml:space="preserve">“There was some discussion about whether any exercise of my powers as trial judge to put the prosecution to an ‘election’ as to whether they proceed on one set of counts or the other, or to invite the </w:t>
      </w:r>
      <w:r w:rsidR="00496DDD">
        <w:t>prosecution to</w:t>
      </w:r>
      <w:r>
        <w:t xml:space="preserve"> proceed on the conspiracy counts only on the basis that the money laundering counts </w:t>
      </w:r>
      <w:bookmarkStart w:id="35" w:name="_Int_YLH47MNv"/>
      <w:r>
        <w:t>in reality add</w:t>
      </w:r>
      <w:bookmarkEnd w:id="35"/>
      <w:r>
        <w:t xml:space="preserve"> nothing, were properly a matter to be dealt with in this preparatory hearing. As the authority of </w:t>
      </w:r>
      <w:r w:rsidRPr="1540DD9B">
        <w:rPr>
          <w:i/>
          <w:iCs/>
        </w:rPr>
        <w:t>R v G</w:t>
      </w:r>
      <w:r>
        <w:t xml:space="preserve"> [2015] UKSC 24 suggests that is more a matter for an indication by the court rather than a matter of fact finding or legal ruling. It was </w:t>
      </w:r>
      <w:bookmarkStart w:id="36" w:name="_Int_R2TkNL31"/>
      <w:r>
        <w:t>generally</w:t>
      </w:r>
      <w:r w:rsidR="4A2598CF">
        <w:t xml:space="preserve"> </w:t>
      </w:r>
      <w:r>
        <w:t>agreed</w:t>
      </w:r>
      <w:bookmarkEnd w:id="36"/>
      <w:r>
        <w:t xml:space="preserve"> that these matters should be ventilated because it may affect the shape of the case. Whether that makes it a matter for appellate scrutiny is for others to decide.”</w:t>
      </w:r>
    </w:p>
    <w:p w14:paraId="0FE24C9B" w14:textId="4B4DAFAF" w:rsidR="00C5535A" w:rsidRPr="00C96984" w:rsidRDefault="008F7A45" w:rsidP="00EA0C29">
      <w:pPr>
        <w:pStyle w:val="ParaLevel1"/>
        <w:rPr>
          <w:lang w:eastAsia="en-GB"/>
        </w:rPr>
      </w:pPr>
      <w:r>
        <w:t>The judge</w:t>
      </w:r>
      <w:r w:rsidR="00C5535A">
        <w:t xml:space="preserve"> said that he would first express his </w:t>
      </w:r>
      <w:r w:rsidR="00C5535A" w:rsidRPr="1540DD9B">
        <w:rPr>
          <w:i/>
          <w:iCs/>
        </w:rPr>
        <w:t>views</w:t>
      </w:r>
      <w:r w:rsidR="00C5535A">
        <w:t xml:space="preserve"> as trial judge as to the utility or otherwise of the money laundering counts and second add </w:t>
      </w:r>
      <w:r w:rsidR="00C5535A" w:rsidRPr="1540DD9B">
        <w:rPr>
          <w:i/>
          <w:iCs/>
        </w:rPr>
        <w:t xml:space="preserve">a few comments </w:t>
      </w:r>
      <w:r w:rsidR="00C5535A">
        <w:t xml:space="preserve">about their </w:t>
      </w:r>
      <w:bookmarkStart w:id="37" w:name="_Int_VmRPFFAn"/>
      <w:r w:rsidR="00C5535A">
        <w:lastRenderedPageBreak/>
        <w:t>possible effect</w:t>
      </w:r>
      <w:bookmarkEnd w:id="37"/>
      <w:r w:rsidR="00C5535A">
        <w:t xml:space="preserve"> upon the task of any jury and upon the structure, </w:t>
      </w:r>
      <w:bookmarkStart w:id="38" w:name="_Int_M1C7vJuW"/>
      <w:r w:rsidR="00C5535A">
        <w:t>length</w:t>
      </w:r>
      <w:bookmarkEnd w:id="38"/>
      <w:r w:rsidR="00C5535A">
        <w:t xml:space="preserve"> and coherence of the case.</w:t>
      </w:r>
    </w:p>
    <w:p w14:paraId="4C58BF87" w14:textId="307FB210" w:rsidR="00A00209" w:rsidRDefault="008F7A45" w:rsidP="00EA0C29">
      <w:pPr>
        <w:pStyle w:val="ParaLevel1"/>
        <w:rPr>
          <w:lang w:eastAsia="en-GB"/>
        </w:rPr>
      </w:pPr>
      <w:r>
        <w:t>The judge</w:t>
      </w:r>
      <w:r w:rsidR="00C5535A" w:rsidRPr="00A00209">
        <w:t xml:space="preserve"> went on to analyse the cases of both the </w:t>
      </w:r>
      <w:r w:rsidR="007D0983">
        <w:t>p</w:t>
      </w:r>
      <w:r w:rsidR="00C5535A" w:rsidRPr="00A00209">
        <w:t xml:space="preserve">rosecution and the </w:t>
      </w:r>
      <w:r w:rsidR="007D0983">
        <w:t>d</w:t>
      </w:r>
      <w:r w:rsidR="00C5535A" w:rsidRPr="00A00209">
        <w:t>efence for B</w:t>
      </w:r>
      <w:r w:rsidR="00DD4909">
        <w:t>IM</w:t>
      </w:r>
      <w:r w:rsidR="00C5535A" w:rsidRPr="00A00209">
        <w:t xml:space="preserve"> on this matter and agreed with the general contention of the </w:t>
      </w:r>
      <w:r w:rsidR="007D0983">
        <w:t>d</w:t>
      </w:r>
      <w:r w:rsidR="00C5535A" w:rsidRPr="00A00209">
        <w:t xml:space="preserve">efence that the </w:t>
      </w:r>
      <w:r w:rsidR="007D0983">
        <w:t>p</w:t>
      </w:r>
      <w:r w:rsidR="00C5535A" w:rsidRPr="00A00209">
        <w:t>rosecution should elect to try her either as a co-conspirator on the conspiracy to defraud charges or as the partner of a co-defendant who suspected that the deposits into their bank accounts were from his criminal activity. He said he took the view that the money laundering counts added nothing to the ability of the court to sentence B</w:t>
      </w:r>
      <w:r w:rsidR="00DD4909">
        <w:t>IM</w:t>
      </w:r>
      <w:r w:rsidR="00C5535A" w:rsidRPr="00A00209">
        <w:t xml:space="preserve"> </w:t>
      </w:r>
      <w:r w:rsidR="00B21FFB">
        <w:t xml:space="preserve">appropriately </w:t>
      </w:r>
      <w:r w:rsidR="00C5535A" w:rsidRPr="00A00209">
        <w:t>should she be convicted of the fraud offences.</w:t>
      </w:r>
    </w:p>
    <w:p w14:paraId="7B74286D" w14:textId="77777777" w:rsidR="00A00209" w:rsidRDefault="00C5535A" w:rsidP="00EA0C29">
      <w:pPr>
        <w:pStyle w:val="ParaLevel1"/>
        <w:rPr>
          <w:lang w:eastAsia="en-GB"/>
        </w:rPr>
      </w:pPr>
      <w:r w:rsidRPr="00A00209">
        <w:t>He concluded that:</w:t>
      </w:r>
    </w:p>
    <w:p w14:paraId="6A04208D" w14:textId="464A1685" w:rsidR="00A00209" w:rsidRDefault="00A00209" w:rsidP="00EA0C29">
      <w:pPr>
        <w:pStyle w:val="Quote"/>
        <w:rPr>
          <w:lang w:eastAsia="en-GB"/>
        </w:rPr>
      </w:pPr>
      <w:r>
        <w:t xml:space="preserve">“I would therefore give a firm indication – I do not believe that I can make any order – in accordance with </w:t>
      </w:r>
      <w:r w:rsidRPr="1540DD9B">
        <w:rPr>
          <w:i/>
          <w:iCs/>
        </w:rPr>
        <w:t>R v GH</w:t>
      </w:r>
      <w:r>
        <w:t xml:space="preserve"> as outlined by Lord Toulson, to invite the Prosecution to proceed under counts 1 and 4 only (or alternatively counts 2,3,5,6 and 7) as regards B</w:t>
      </w:r>
      <w:r w:rsidR="00DD4909">
        <w:t>IM</w:t>
      </w:r>
      <w:r>
        <w:t xml:space="preserve">. Although not </w:t>
      </w:r>
      <w:bookmarkStart w:id="39" w:name="_Int_0sMC0QBD"/>
      <w:r>
        <w:t>possibly fashionable</w:t>
      </w:r>
      <w:bookmarkEnd w:id="39"/>
      <w:r>
        <w:t xml:space="preserve"> the possibility of preferring counts of handling or receiving stolen goods remains if that is truly the prosecution’s case against her.” </w:t>
      </w:r>
    </w:p>
    <w:p w14:paraId="4EC5341C" w14:textId="74A045F2" w:rsidR="00A00209" w:rsidRPr="00A00209" w:rsidRDefault="00465BF1" w:rsidP="00EA0C29">
      <w:pPr>
        <w:pStyle w:val="ParaLevel1"/>
        <w:rPr>
          <w:sz w:val="20"/>
        </w:rPr>
      </w:pPr>
      <w:r>
        <w:t>Although</w:t>
      </w:r>
      <w:r w:rsidR="00C5535A">
        <w:t xml:space="preserve"> counts 2 and 7 were mentioned by</w:t>
      </w:r>
      <w:r w:rsidR="008F7A45">
        <w:t xml:space="preserve"> the judge</w:t>
      </w:r>
      <w:r w:rsidR="00460F9D">
        <w:t>,</w:t>
      </w:r>
      <w:r w:rsidR="00C5535A">
        <w:t xml:space="preserve"> B</w:t>
      </w:r>
      <w:r w:rsidR="00793E1B">
        <w:t>IM</w:t>
      </w:r>
      <w:r w:rsidR="00C5535A">
        <w:t xml:space="preserve"> was not charged with th</w:t>
      </w:r>
      <w:r w:rsidR="0043007E">
        <w:t>ose</w:t>
      </w:r>
      <w:r w:rsidR="00C5535A">
        <w:t xml:space="preserve"> offences</w:t>
      </w:r>
      <w:r w:rsidR="0043007E">
        <w:t>.</w:t>
      </w:r>
    </w:p>
    <w:p w14:paraId="56DB0841" w14:textId="64831455" w:rsidR="00A00209" w:rsidRPr="0020165F" w:rsidRDefault="00C06B58" w:rsidP="00EA0C29">
      <w:pPr>
        <w:pStyle w:val="ParaLevel1"/>
        <w:rPr>
          <w:sz w:val="20"/>
        </w:rPr>
      </w:pPr>
      <w:r>
        <w:t>He</w:t>
      </w:r>
      <w:r w:rsidR="00C5535A" w:rsidRPr="00A00209">
        <w:t xml:space="preserve"> cited Lord Toulson’s view that it was unlikely that the </w:t>
      </w:r>
      <w:r w:rsidR="0050271F">
        <w:t>p</w:t>
      </w:r>
      <w:r w:rsidR="00C5535A" w:rsidRPr="00A00209">
        <w:t xml:space="preserve">rosecution would fail to respect the view of the court in giving the indication which he had given. Should they fail to do so in this case </w:t>
      </w:r>
      <w:r w:rsidR="00062A38">
        <w:t>the judge</w:t>
      </w:r>
      <w:r w:rsidR="00C5535A" w:rsidRPr="00A00209">
        <w:t xml:space="preserve"> said:</w:t>
      </w:r>
    </w:p>
    <w:p w14:paraId="13AFE570" w14:textId="2FB935EA" w:rsidR="0020165F" w:rsidRPr="00A00209" w:rsidRDefault="0020165F" w:rsidP="00EA0C29">
      <w:pPr>
        <w:pStyle w:val="Quote"/>
      </w:pPr>
      <w:r>
        <w:t xml:space="preserve">“… there are some further observations which I add below; these may be relevant to </w:t>
      </w:r>
      <w:r w:rsidRPr="6FDC3C26">
        <w:rPr>
          <w:u w:val="single"/>
        </w:rPr>
        <w:t>whether the court</w:t>
      </w:r>
      <w:r>
        <w:t xml:space="preserve"> </w:t>
      </w:r>
      <w:r w:rsidRPr="6FDC3C26">
        <w:rPr>
          <w:u w:val="single"/>
        </w:rPr>
        <w:t>should</w:t>
      </w:r>
      <w:r>
        <w:t xml:space="preserve"> exercise the case management powers, which it certainly has, to order separate trials of the conspiracy counts and the money laundering counts.”</w:t>
      </w:r>
      <w:r w:rsidRPr="0020165F">
        <w:t xml:space="preserve"> </w:t>
      </w:r>
      <w:r>
        <w:t>(Our emphasis)</w:t>
      </w:r>
    </w:p>
    <w:p w14:paraId="1DAD91CC" w14:textId="44DA7A4C" w:rsidR="00993832" w:rsidRPr="007B4A0F" w:rsidRDefault="00764D4B" w:rsidP="00EA0C29">
      <w:pPr>
        <w:pStyle w:val="ParaLevel1"/>
        <w:rPr>
          <w:sz w:val="20"/>
        </w:rPr>
      </w:pPr>
      <w:r>
        <w:t>The judge</w:t>
      </w:r>
      <w:r w:rsidR="00C5535A">
        <w:t xml:space="preserve"> set out his concerns about the </w:t>
      </w:r>
      <w:r w:rsidR="0050271F">
        <w:t>p</w:t>
      </w:r>
      <w:r w:rsidR="00C5535A">
        <w:t xml:space="preserve">rosecution proceeding on both counts as in his view the scale of the money laundering charges </w:t>
      </w:r>
      <w:r w:rsidR="1BBEEC90">
        <w:t>was</w:t>
      </w:r>
      <w:r w:rsidR="00C5535A">
        <w:t xml:space="preserve"> much greater than the evidence which supports the conspiracy. He expressed concern that the trial would become unmanageable if the Prosecution proceeded with them</w:t>
      </w:r>
      <w:r w:rsidR="09F20893">
        <w:t xml:space="preserve">. </w:t>
      </w:r>
      <w:r w:rsidR="00C5535A">
        <w:t>However</w:t>
      </w:r>
      <w:r w:rsidR="0091201A">
        <w:t>, he</w:t>
      </w:r>
      <w:r w:rsidR="00C5535A">
        <w:t xml:space="preserve"> did not come to a final view on this matter, saying this was not least because he was not sure that the</w:t>
      </w:r>
      <w:r w:rsidR="009C70D2">
        <w:t xml:space="preserve"> potential</w:t>
      </w:r>
      <w:r w:rsidR="00C5535A">
        <w:t xml:space="preserve"> complexities </w:t>
      </w:r>
      <w:r w:rsidR="00750A29">
        <w:t>of a trial on all counts</w:t>
      </w:r>
      <w:r w:rsidR="00C5535A">
        <w:t xml:space="preserve"> had been fully addressed by counsel on both sides.</w:t>
      </w:r>
    </w:p>
    <w:p w14:paraId="0B247FDA" w14:textId="0041406A" w:rsidR="00993832" w:rsidRPr="00993832" w:rsidRDefault="00993832" w:rsidP="00EA0C29">
      <w:pPr>
        <w:pStyle w:val="ParaLevel1"/>
        <w:numPr>
          <w:ilvl w:val="0"/>
          <w:numId w:val="0"/>
        </w:numPr>
        <w:rPr>
          <w:i/>
          <w:iCs/>
          <w:sz w:val="20"/>
        </w:rPr>
      </w:pPr>
      <w:r w:rsidRPr="00993832">
        <w:rPr>
          <w:i/>
          <w:iCs/>
        </w:rPr>
        <w:t>The Issue at the Permission Hearing</w:t>
      </w:r>
    </w:p>
    <w:p w14:paraId="65AE2A01" w14:textId="76832D88" w:rsidR="00993832" w:rsidRPr="003728A2" w:rsidRDefault="00BC1057" w:rsidP="00EA0C29">
      <w:pPr>
        <w:pStyle w:val="ParaLevel1"/>
        <w:rPr>
          <w:sz w:val="20"/>
        </w:rPr>
      </w:pPr>
      <w:r>
        <w:t>The judge handed down his</w:t>
      </w:r>
      <w:r w:rsidR="000D1659">
        <w:t xml:space="preserve"> </w:t>
      </w:r>
      <w:r w:rsidR="00C5535A">
        <w:t>judgment</w:t>
      </w:r>
      <w:r>
        <w:t xml:space="preserve"> covering all the issues argued before him</w:t>
      </w:r>
      <w:r w:rsidR="00C5535A">
        <w:t xml:space="preserve"> on 4 March 2021. </w:t>
      </w:r>
      <w:r w:rsidR="00F25269">
        <w:t xml:space="preserve">He </w:t>
      </w:r>
      <w:r w:rsidR="00C5535A">
        <w:t xml:space="preserve">indicated that he was minded </w:t>
      </w:r>
      <w:bookmarkStart w:id="40" w:name="_Int_kjnzdMk1"/>
      <w:r w:rsidR="00C5535A">
        <w:t>to give</w:t>
      </w:r>
      <w:bookmarkEnd w:id="40"/>
      <w:r w:rsidR="00C5535A">
        <w:t xml:space="preserve"> permission to appeal in relation to the issues which had been raised.</w:t>
      </w:r>
      <w:r w:rsidR="003728A2">
        <w:t xml:space="preserve"> </w:t>
      </w:r>
      <w:r w:rsidR="00C5535A">
        <w:t xml:space="preserve">On </w:t>
      </w:r>
      <w:r w:rsidR="3687617E">
        <w:t>8 March 2022,</w:t>
      </w:r>
      <w:r w:rsidR="00C5535A">
        <w:t xml:space="preserve"> a hearing took place to determine whether </w:t>
      </w:r>
      <w:r w:rsidR="0050271F">
        <w:t>he</w:t>
      </w:r>
      <w:r w:rsidR="00183F42">
        <w:t xml:space="preserve"> </w:t>
      </w:r>
      <w:r w:rsidR="00C5535A">
        <w:t>should give permission to appeal</w:t>
      </w:r>
      <w:r w:rsidR="007744A6">
        <w:t xml:space="preserve"> in connection with</w:t>
      </w:r>
      <w:r w:rsidR="00C5535A">
        <w:t xml:space="preserve"> the form of the </w:t>
      </w:r>
      <w:bookmarkStart w:id="41" w:name="_Int_VaKJpj9W"/>
      <w:r w:rsidR="00C5535A">
        <w:t>indictment</w:t>
      </w:r>
      <w:bookmarkEnd w:id="41"/>
      <w:r w:rsidR="00993832">
        <w:t>.</w:t>
      </w:r>
    </w:p>
    <w:p w14:paraId="0AF7B5F0" w14:textId="4BC1D405" w:rsidR="00993832" w:rsidRPr="00993832" w:rsidRDefault="00C5535A" w:rsidP="00EA0C29">
      <w:pPr>
        <w:pStyle w:val="ParaLevel1"/>
        <w:rPr>
          <w:sz w:val="20"/>
        </w:rPr>
      </w:pPr>
      <w:r>
        <w:lastRenderedPageBreak/>
        <w:t xml:space="preserve">At that hearing the prosecution argued, as before us, that </w:t>
      </w:r>
      <w:r w:rsidR="003728A2">
        <w:t>the judge</w:t>
      </w:r>
      <w:r>
        <w:t xml:space="preserve"> had effectively given a ruling on the issue by ordering the prosecution to consider and elect on the counts faced by B</w:t>
      </w:r>
      <w:r w:rsidR="00793E1B">
        <w:t>IM</w:t>
      </w:r>
      <w:r>
        <w:t xml:space="preserve"> and saying that if they did not the sanction was likely to b</w:t>
      </w:r>
      <w:r w:rsidR="00DB2FD5">
        <w:t xml:space="preserve">e an order </w:t>
      </w:r>
      <w:r>
        <w:t>sever</w:t>
      </w:r>
      <w:r w:rsidR="00DB2FD5">
        <w:t xml:space="preserve">ing the </w:t>
      </w:r>
      <w:bookmarkStart w:id="42" w:name="_Int_oPDDGPxd"/>
      <w:r w:rsidR="00DB2FD5">
        <w:t>indictment</w:t>
      </w:r>
      <w:bookmarkEnd w:id="42"/>
      <w:r>
        <w:t xml:space="preserve">. The </w:t>
      </w:r>
      <w:r w:rsidR="003728A2">
        <w:t>d</w:t>
      </w:r>
      <w:r>
        <w:t xml:space="preserve">efence submitted, as before us, that </w:t>
      </w:r>
      <w:r w:rsidR="00D97D1C">
        <w:t>he</w:t>
      </w:r>
      <w:r>
        <w:t xml:space="preserve"> did no more than give an indication under his case management powers. There was no ruling and nothing therefore to appeal. </w:t>
      </w:r>
    </w:p>
    <w:p w14:paraId="3FBD0B6F" w14:textId="4F0EB506" w:rsidR="00242BB1" w:rsidRPr="00242BB1" w:rsidRDefault="00D97D1C" w:rsidP="00EA0C29">
      <w:pPr>
        <w:pStyle w:val="ParaLevel1"/>
        <w:rPr>
          <w:sz w:val="20"/>
        </w:rPr>
      </w:pPr>
      <w:r>
        <w:t>The judge</w:t>
      </w:r>
      <w:r w:rsidR="00C5535A">
        <w:t xml:space="preserve"> said that he </w:t>
      </w:r>
      <w:r w:rsidR="00EF588E">
        <w:t>had</w:t>
      </w:r>
      <w:r w:rsidR="00C5535A">
        <w:t xml:space="preserve"> adopted the terminology of Lord Toulson in </w:t>
      </w:r>
      <w:r w:rsidR="00C5535A" w:rsidRPr="1540DD9B">
        <w:rPr>
          <w:i/>
          <w:iCs/>
        </w:rPr>
        <w:t xml:space="preserve">R v GH. </w:t>
      </w:r>
      <w:r w:rsidR="00C5535A">
        <w:t>Lord Toulson speculated about the consequences of failing to elect between charges following</w:t>
      </w:r>
      <w:r w:rsidR="00ED61F6">
        <w:t xml:space="preserve"> an</w:t>
      </w:r>
      <w:r w:rsidR="00C5535A">
        <w:t xml:space="preserve"> indication by </w:t>
      </w:r>
      <w:r w:rsidR="00EF588E">
        <w:t>a</w:t>
      </w:r>
      <w:r w:rsidR="00C5535A">
        <w:t xml:space="preserve"> judge</w:t>
      </w:r>
      <w:r w:rsidR="00EF588E">
        <w:t>. T</w:t>
      </w:r>
      <w:r w:rsidR="00ED61F6">
        <w:t xml:space="preserve">he </w:t>
      </w:r>
      <w:r w:rsidR="00D16463">
        <w:t>judge</w:t>
      </w:r>
      <w:r w:rsidR="00C5535A">
        <w:t xml:space="preserve"> said he would have had the power under s</w:t>
      </w:r>
      <w:r w:rsidR="00B87D69">
        <w:t xml:space="preserve">ection </w:t>
      </w:r>
      <w:r w:rsidR="00C5535A">
        <w:t xml:space="preserve">31 to make an order. “In all other respects” what he said would have to be characterised as a ruling. He gave permission to appeal but indicated that if he </w:t>
      </w:r>
      <w:r w:rsidR="20697881">
        <w:t>were</w:t>
      </w:r>
      <w:r w:rsidR="00C5535A">
        <w:t xml:space="preserve"> wrong about that then the Court of Appeal would put him right.</w:t>
      </w:r>
    </w:p>
    <w:p w14:paraId="27368680" w14:textId="60474F97" w:rsidR="00242BB1" w:rsidRPr="00242BB1" w:rsidRDefault="00242BB1" w:rsidP="00EA0C29">
      <w:pPr>
        <w:pStyle w:val="ParaLevel1"/>
        <w:numPr>
          <w:ilvl w:val="0"/>
          <w:numId w:val="0"/>
        </w:numPr>
        <w:rPr>
          <w:i/>
          <w:iCs/>
          <w:sz w:val="20"/>
        </w:rPr>
      </w:pPr>
      <w:r w:rsidRPr="00242BB1">
        <w:rPr>
          <w:i/>
          <w:iCs/>
        </w:rPr>
        <w:t>Conclusion</w:t>
      </w:r>
    </w:p>
    <w:p w14:paraId="39EF32EF" w14:textId="08DDD913" w:rsidR="00242BB1" w:rsidRPr="00242BB1" w:rsidRDefault="00C5535A" w:rsidP="00EA0C29">
      <w:pPr>
        <w:pStyle w:val="ParaLevel1"/>
        <w:rPr>
          <w:sz w:val="20"/>
        </w:rPr>
      </w:pPr>
      <w:r w:rsidRPr="00242BB1">
        <w:t xml:space="preserve">We respectfully depart from </w:t>
      </w:r>
      <w:r w:rsidR="00ED61F6">
        <w:t>the judge’s</w:t>
      </w:r>
      <w:r w:rsidRPr="00242BB1">
        <w:t xml:space="preserve"> </w:t>
      </w:r>
      <w:r w:rsidR="00641D7F">
        <w:t xml:space="preserve">final </w:t>
      </w:r>
      <w:r w:rsidRPr="00242BB1">
        <w:t xml:space="preserve">view that he </w:t>
      </w:r>
      <w:r w:rsidR="00E275B1">
        <w:t>gave</w:t>
      </w:r>
      <w:r w:rsidRPr="00242BB1">
        <w:t xml:space="preserve"> a ruling about the </w:t>
      </w:r>
      <w:r w:rsidR="00D003BA">
        <w:t>p</w:t>
      </w:r>
      <w:r w:rsidRPr="00242BB1">
        <w:t>rosecution’s need to elect between the counts faced by B</w:t>
      </w:r>
      <w:r w:rsidR="00793E1B">
        <w:t>IM</w:t>
      </w:r>
      <w:r w:rsidRPr="00242BB1">
        <w:t xml:space="preserve">. </w:t>
      </w:r>
      <w:r w:rsidR="00045BE7">
        <w:t>On the contrary,</w:t>
      </w:r>
      <w:r w:rsidRPr="00242BB1">
        <w:t xml:space="preserve"> the language he used </w:t>
      </w:r>
      <w:r w:rsidR="00123B88">
        <w:t>invited the</w:t>
      </w:r>
      <w:r w:rsidRPr="00242BB1">
        <w:t xml:space="preserve"> </w:t>
      </w:r>
      <w:r w:rsidR="00D003BA">
        <w:t>p</w:t>
      </w:r>
      <w:r w:rsidRPr="00242BB1">
        <w:t xml:space="preserve">rosecution to consider whether they should elect but had expressly made no order or ruling on the matter. </w:t>
      </w:r>
    </w:p>
    <w:p w14:paraId="011555A3" w14:textId="55656176" w:rsidR="00242BB1" w:rsidRPr="00242BB1" w:rsidRDefault="00C5535A" w:rsidP="00EA0C29">
      <w:pPr>
        <w:pStyle w:val="ParaLevel1"/>
        <w:rPr>
          <w:sz w:val="20"/>
        </w:rPr>
      </w:pPr>
      <w:r w:rsidRPr="00242BB1">
        <w:t xml:space="preserve">Nor did </w:t>
      </w:r>
      <w:r w:rsidR="00E275B1">
        <w:t>the judge</w:t>
      </w:r>
      <w:r w:rsidRPr="00242BB1">
        <w:t xml:space="preserve"> rule that should the </w:t>
      </w:r>
      <w:r w:rsidR="00E275B1">
        <w:t>p</w:t>
      </w:r>
      <w:r w:rsidRPr="00242BB1">
        <w:t>rosecution disagree with his indication he would order severance. He expressly offered some observations about the future conduct of the trial and his concerns about manageability if no election was made but was clear in his language that he had come to no final view on the matter and may need to hear further submissions.</w:t>
      </w:r>
    </w:p>
    <w:p w14:paraId="4648DBA6" w14:textId="512083CA" w:rsidR="00C5535A" w:rsidRPr="00F606A9" w:rsidRDefault="00C5535A" w:rsidP="00EA0C29">
      <w:pPr>
        <w:pStyle w:val="ParaLevel1"/>
      </w:pPr>
      <w:r>
        <w:t>In those circumstances we consider Ms Graham</w:t>
      </w:r>
      <w:r w:rsidR="00BC7D4A">
        <w:t>e</w:t>
      </w:r>
      <w:r w:rsidR="008A7A6B">
        <w:t xml:space="preserve"> KC</w:t>
      </w:r>
      <w:r w:rsidR="002517BF">
        <w:t xml:space="preserve"> </w:t>
      </w:r>
      <w:r>
        <w:t xml:space="preserve">correct in her </w:t>
      </w:r>
      <w:r w:rsidR="00BC7D4A">
        <w:t>submission</w:t>
      </w:r>
      <w:r>
        <w:t xml:space="preserve"> that </w:t>
      </w:r>
      <w:r w:rsidR="00DA0B96">
        <w:t>the judge</w:t>
      </w:r>
      <w:r>
        <w:t xml:space="preserve"> gave an indication under his case management powers rather than a ruling. The prosecution </w:t>
      </w:r>
      <w:r w:rsidR="5CBE3725">
        <w:t>was</w:t>
      </w:r>
      <w:r>
        <w:t xml:space="preserve"> being encouraged to elect but </w:t>
      </w:r>
      <w:r w:rsidR="00DA0B96">
        <w:t>he</w:t>
      </w:r>
      <w:r>
        <w:t xml:space="preserve"> had made no final decision about what he would do should they refuse to do so. The judge was right in his assertion at the permission hearing that he could have made a ruling under s</w:t>
      </w:r>
      <w:r w:rsidR="00821C10">
        <w:t xml:space="preserve">ection </w:t>
      </w:r>
      <w:r>
        <w:t xml:space="preserve">31(3) </w:t>
      </w:r>
      <w:r w:rsidR="00242BB1">
        <w:t xml:space="preserve">of the </w:t>
      </w:r>
      <w:bookmarkStart w:id="43" w:name="_Int_dmAfbhJ9"/>
      <w:r>
        <w:t>CPIA</w:t>
      </w:r>
      <w:bookmarkEnd w:id="43"/>
      <w:r>
        <w:t xml:space="preserve"> but he did not do so. It follows that this Court has no </w:t>
      </w:r>
      <w:bookmarkStart w:id="44" w:name="_Int_JZLLcUcd"/>
      <w:r>
        <w:t>jurisdiction</w:t>
      </w:r>
      <w:bookmarkEnd w:id="44"/>
      <w:r>
        <w:t xml:space="preserve"> to hear this issue which remains </w:t>
      </w:r>
      <w:bookmarkStart w:id="45" w:name="_Int_WoxBtBtW"/>
      <w:r>
        <w:t>live</w:t>
      </w:r>
      <w:bookmarkEnd w:id="45"/>
      <w:r>
        <w:t xml:space="preserve"> and which </w:t>
      </w:r>
      <w:r w:rsidR="48089277">
        <w:t xml:space="preserve">remains to </w:t>
      </w:r>
      <w:r>
        <w:t>be resolved by the trial judge</w:t>
      </w:r>
      <w:r w:rsidR="08A9542D">
        <w:t xml:space="preserve"> after hearing full argument</w:t>
      </w:r>
      <w:r>
        <w:t>.</w:t>
      </w:r>
    </w:p>
    <w:p w14:paraId="16849E71" w14:textId="65566FE8" w:rsidR="00C5535A" w:rsidRPr="00FB4EA1" w:rsidRDefault="00FB4EA1" w:rsidP="00EA0C29">
      <w:pPr>
        <w:pStyle w:val="ParaLevel1"/>
        <w:numPr>
          <w:ilvl w:val="0"/>
          <w:numId w:val="0"/>
        </w:numPr>
        <w:rPr>
          <w:b/>
          <w:bCs/>
          <w:lang w:eastAsia="en-GB"/>
        </w:rPr>
      </w:pPr>
      <w:r w:rsidRPr="6FDC3C26">
        <w:rPr>
          <w:b/>
          <w:bCs/>
          <w:lang w:eastAsia="en-GB"/>
        </w:rPr>
        <w:t xml:space="preserve">The Sixth Issue: </w:t>
      </w:r>
      <w:r w:rsidR="00F606A9" w:rsidRPr="6FDC3C26">
        <w:rPr>
          <w:b/>
          <w:bCs/>
          <w:lang w:eastAsia="en-GB"/>
        </w:rPr>
        <w:t>Reserved Legal Activity and its consequences</w:t>
      </w:r>
    </w:p>
    <w:p w14:paraId="12B79037" w14:textId="2738421B" w:rsidR="18FFE235" w:rsidRDefault="18FFE235" w:rsidP="00EA0C29">
      <w:pPr>
        <w:pStyle w:val="ParaLevel1"/>
        <w:numPr>
          <w:ilvl w:val="0"/>
          <w:numId w:val="0"/>
        </w:numPr>
        <w:rPr>
          <w:b/>
          <w:bCs/>
          <w:lang w:eastAsia="en-GB"/>
        </w:rPr>
      </w:pPr>
      <w:r w:rsidRPr="6FDC3C26">
        <w:rPr>
          <w:i/>
          <w:iCs/>
          <w:lang w:eastAsia="en-GB"/>
        </w:rPr>
        <w:t>The Judge’s Ruling</w:t>
      </w:r>
    </w:p>
    <w:p w14:paraId="01C88CE7" w14:textId="5852E113" w:rsidR="1A15CD8E" w:rsidRDefault="1A15CD8E" w:rsidP="00EA0C29">
      <w:pPr>
        <w:pStyle w:val="ParaLevel1"/>
        <w:rPr>
          <w:lang w:eastAsia="en-GB"/>
        </w:rPr>
      </w:pPr>
      <w:r w:rsidRPr="1540DD9B">
        <w:rPr>
          <w:lang w:eastAsia="en-GB"/>
        </w:rPr>
        <w:t xml:space="preserve">The judge </w:t>
      </w:r>
      <w:r w:rsidR="40C43C4A" w:rsidRPr="1540DD9B">
        <w:rPr>
          <w:lang w:eastAsia="en-GB"/>
        </w:rPr>
        <w:t>accepted the submission made on behalf of AQE</w:t>
      </w:r>
      <w:r w:rsidRPr="1540DD9B">
        <w:rPr>
          <w:lang w:eastAsia="en-GB"/>
        </w:rPr>
        <w:t xml:space="preserve"> that Colin Rumford, the Head of Regional Investigations at City of York Council, was </w:t>
      </w:r>
      <w:r w:rsidR="7BA173FF" w:rsidRPr="1540DD9B">
        <w:rPr>
          <w:lang w:eastAsia="en-GB"/>
        </w:rPr>
        <w:t xml:space="preserve">not qualified to conduct the proceedings on behalf of the prosecutor in the Crown Court for the purposes of the Legal Services </w:t>
      </w:r>
      <w:r w:rsidR="7284A7FE" w:rsidRPr="1540DD9B">
        <w:rPr>
          <w:lang w:eastAsia="en-GB"/>
        </w:rPr>
        <w:t>Act 2007</w:t>
      </w:r>
      <w:r w:rsidR="5A3487CA" w:rsidRPr="1540DD9B">
        <w:rPr>
          <w:lang w:eastAsia="en-GB"/>
        </w:rPr>
        <w:t xml:space="preserve">. </w:t>
      </w:r>
      <w:r w:rsidR="7BA173FF" w:rsidRPr="1540DD9B">
        <w:rPr>
          <w:lang w:eastAsia="en-GB"/>
        </w:rPr>
        <w:t>He</w:t>
      </w:r>
      <w:r w:rsidR="355D2B6C" w:rsidRPr="1540DD9B">
        <w:rPr>
          <w:lang w:eastAsia="en-GB"/>
        </w:rPr>
        <w:t xml:space="preserve"> rejected the </w:t>
      </w:r>
      <w:r w:rsidR="003A6F88" w:rsidRPr="1540DD9B">
        <w:rPr>
          <w:lang w:eastAsia="en-GB"/>
        </w:rPr>
        <w:t xml:space="preserve">further </w:t>
      </w:r>
      <w:r w:rsidR="355D2B6C" w:rsidRPr="1540DD9B">
        <w:rPr>
          <w:lang w:eastAsia="en-GB"/>
        </w:rPr>
        <w:t>submission that</w:t>
      </w:r>
      <w:r w:rsidR="028E7D12" w:rsidRPr="1540DD9B">
        <w:rPr>
          <w:lang w:eastAsia="en-GB"/>
        </w:rPr>
        <w:t>, in consequence,</w:t>
      </w:r>
      <w:r w:rsidR="7BA173FF" w:rsidRPr="1540DD9B">
        <w:rPr>
          <w:lang w:eastAsia="en-GB"/>
        </w:rPr>
        <w:t xml:space="preserve"> </w:t>
      </w:r>
      <w:r w:rsidR="10F9018D" w:rsidRPr="1540DD9B">
        <w:rPr>
          <w:lang w:eastAsia="en-GB"/>
        </w:rPr>
        <w:t>the proceedings in the Crown Court wer</w:t>
      </w:r>
      <w:r w:rsidR="43028542" w:rsidRPr="1540DD9B">
        <w:rPr>
          <w:lang w:eastAsia="en-GB"/>
        </w:rPr>
        <w:t>e</w:t>
      </w:r>
      <w:r w:rsidR="10F9018D" w:rsidRPr="1540DD9B">
        <w:rPr>
          <w:lang w:eastAsia="en-GB"/>
        </w:rPr>
        <w:t xml:space="preserve"> a nullity</w:t>
      </w:r>
      <w:r w:rsidR="12FAA6C7" w:rsidRPr="1540DD9B">
        <w:rPr>
          <w:lang w:eastAsia="en-GB"/>
        </w:rPr>
        <w:t>. He</w:t>
      </w:r>
      <w:r w:rsidR="02FFAC84" w:rsidRPr="1540DD9B">
        <w:rPr>
          <w:lang w:eastAsia="en-GB"/>
        </w:rPr>
        <w:t xml:space="preserve"> </w:t>
      </w:r>
      <w:r w:rsidR="054B85BE" w:rsidRPr="1540DD9B">
        <w:rPr>
          <w:lang w:eastAsia="en-GB"/>
        </w:rPr>
        <w:t>also declined</w:t>
      </w:r>
      <w:r w:rsidR="640F40B5" w:rsidRPr="1540DD9B">
        <w:rPr>
          <w:lang w:eastAsia="en-GB"/>
        </w:rPr>
        <w:t xml:space="preserve"> on that account</w:t>
      </w:r>
      <w:r w:rsidR="054B85BE" w:rsidRPr="1540DD9B">
        <w:rPr>
          <w:lang w:eastAsia="en-GB"/>
        </w:rPr>
        <w:t xml:space="preserve"> to stay the proceedings in the Crown Court as</w:t>
      </w:r>
      <w:r w:rsidR="02FFAC84" w:rsidRPr="1540DD9B">
        <w:rPr>
          <w:lang w:eastAsia="en-GB"/>
        </w:rPr>
        <w:t xml:space="preserve"> an abuse of process</w:t>
      </w:r>
      <w:r w:rsidR="7F69217B" w:rsidRPr="1540DD9B">
        <w:rPr>
          <w:lang w:eastAsia="en-GB"/>
        </w:rPr>
        <w:t>.</w:t>
      </w:r>
      <w:r w:rsidR="02FFAC84" w:rsidRPr="1540DD9B">
        <w:rPr>
          <w:lang w:eastAsia="en-GB"/>
        </w:rPr>
        <w:t xml:space="preserve"> </w:t>
      </w:r>
      <w:r w:rsidR="009A5510">
        <w:rPr>
          <w:lang w:eastAsia="en-GB"/>
        </w:rPr>
        <w:t>AQE</w:t>
      </w:r>
      <w:r w:rsidR="02FFAC84" w:rsidRPr="1540DD9B">
        <w:rPr>
          <w:lang w:eastAsia="en-GB"/>
        </w:rPr>
        <w:t xml:space="preserve"> appeals</w:t>
      </w:r>
      <w:r w:rsidR="31298D30" w:rsidRPr="1540DD9B">
        <w:rPr>
          <w:lang w:eastAsia="en-GB"/>
        </w:rPr>
        <w:t xml:space="preserve"> against the judge’s refusal to stay or otherwise terminate the proceedings. York </w:t>
      </w:r>
      <w:r w:rsidR="107BFFC9" w:rsidRPr="1540DD9B">
        <w:rPr>
          <w:lang w:eastAsia="en-GB"/>
        </w:rPr>
        <w:t>submit</w:t>
      </w:r>
      <w:r w:rsidR="009C4956" w:rsidRPr="1540DD9B">
        <w:rPr>
          <w:lang w:eastAsia="en-GB"/>
        </w:rPr>
        <w:t>s</w:t>
      </w:r>
      <w:r w:rsidR="107BFFC9" w:rsidRPr="1540DD9B">
        <w:rPr>
          <w:lang w:eastAsia="en-GB"/>
        </w:rPr>
        <w:t xml:space="preserve"> that the judge’s ruling that Mr Rumford was not </w:t>
      </w:r>
      <w:r w:rsidR="00F74737" w:rsidRPr="1540DD9B">
        <w:rPr>
          <w:lang w:eastAsia="en-GB"/>
        </w:rPr>
        <w:t>an exempt person</w:t>
      </w:r>
      <w:r w:rsidR="002A3DB3" w:rsidRPr="1540DD9B">
        <w:rPr>
          <w:lang w:eastAsia="en-GB"/>
        </w:rPr>
        <w:t xml:space="preserve"> for the purpose of</w:t>
      </w:r>
      <w:r w:rsidR="107BFFC9" w:rsidRPr="1540DD9B">
        <w:rPr>
          <w:lang w:eastAsia="en-GB"/>
        </w:rPr>
        <w:t xml:space="preserve"> conduct</w:t>
      </w:r>
      <w:r w:rsidR="002A3DB3" w:rsidRPr="1540DD9B">
        <w:rPr>
          <w:lang w:eastAsia="en-GB"/>
        </w:rPr>
        <w:t>ing</w:t>
      </w:r>
      <w:r w:rsidR="107BFFC9" w:rsidRPr="1540DD9B">
        <w:rPr>
          <w:lang w:eastAsia="en-GB"/>
        </w:rPr>
        <w:t xml:space="preserve"> the proceedings in the Crown Court was wrong</w:t>
      </w:r>
      <w:r w:rsidR="3A62ED5B" w:rsidRPr="1540DD9B">
        <w:rPr>
          <w:lang w:eastAsia="en-GB"/>
        </w:rPr>
        <w:t xml:space="preserve"> and seek</w:t>
      </w:r>
      <w:r w:rsidR="023D51E3" w:rsidRPr="1540DD9B">
        <w:rPr>
          <w:lang w:eastAsia="en-GB"/>
        </w:rPr>
        <w:t>s</w:t>
      </w:r>
      <w:r w:rsidR="3A62ED5B" w:rsidRPr="1540DD9B">
        <w:rPr>
          <w:lang w:eastAsia="en-GB"/>
        </w:rPr>
        <w:t xml:space="preserve"> to uphold his ruling on this issue on that additional basis.</w:t>
      </w:r>
      <w:r w:rsidR="23B23CEB" w:rsidRPr="1540DD9B">
        <w:rPr>
          <w:lang w:eastAsia="en-GB"/>
        </w:rPr>
        <w:t xml:space="preserve"> </w:t>
      </w:r>
    </w:p>
    <w:p w14:paraId="68DA002C" w14:textId="3305D1A8" w:rsidR="270D6166" w:rsidRDefault="270D6166" w:rsidP="00EA0C29">
      <w:pPr>
        <w:pStyle w:val="ParaLevel1"/>
        <w:rPr>
          <w:lang w:eastAsia="en-GB"/>
        </w:rPr>
      </w:pPr>
      <w:r w:rsidRPr="6FDC3C26">
        <w:rPr>
          <w:lang w:eastAsia="en-GB"/>
        </w:rPr>
        <w:lastRenderedPageBreak/>
        <w:t>We received written submissions on behalf of the Law Society touching on some aspects of this issue which emphasise the importance in the public interest of adherence to the statutory scheme governing the regulation of legal services, including the conduct of litigation.</w:t>
      </w:r>
    </w:p>
    <w:p w14:paraId="07896678" w14:textId="7A5D432C" w:rsidR="785254CD" w:rsidRDefault="785254CD" w:rsidP="00EA0C29">
      <w:pPr>
        <w:pStyle w:val="ParaLevel1"/>
        <w:numPr>
          <w:ilvl w:val="0"/>
          <w:numId w:val="0"/>
        </w:numPr>
        <w:rPr>
          <w:i/>
          <w:iCs/>
          <w:lang w:eastAsia="en-GB"/>
        </w:rPr>
      </w:pPr>
      <w:r w:rsidRPr="6FDC3C26">
        <w:rPr>
          <w:i/>
          <w:iCs/>
          <w:lang w:eastAsia="en-GB"/>
        </w:rPr>
        <w:t xml:space="preserve">Jurisdiction of the Court of Appeal to Hear </w:t>
      </w:r>
      <w:r w:rsidR="29FC11D7" w:rsidRPr="6FDC3C26">
        <w:rPr>
          <w:i/>
          <w:iCs/>
          <w:lang w:eastAsia="en-GB"/>
        </w:rPr>
        <w:t>an</w:t>
      </w:r>
      <w:r w:rsidRPr="6FDC3C26">
        <w:rPr>
          <w:i/>
          <w:iCs/>
          <w:lang w:eastAsia="en-GB"/>
        </w:rPr>
        <w:t xml:space="preserve"> Appeal</w:t>
      </w:r>
    </w:p>
    <w:p w14:paraId="48B62A0A" w14:textId="07F98324" w:rsidR="61E7C2B9" w:rsidRDefault="61E7C2B9" w:rsidP="00EA0C29">
      <w:pPr>
        <w:pStyle w:val="ParaLevel1"/>
        <w:rPr>
          <w:lang w:eastAsia="en-GB"/>
        </w:rPr>
      </w:pPr>
      <w:r w:rsidRPr="1540DD9B">
        <w:rPr>
          <w:lang w:eastAsia="en-GB"/>
        </w:rPr>
        <w:t>N</w:t>
      </w:r>
      <w:r w:rsidR="3A62ED5B" w:rsidRPr="1540DD9B">
        <w:rPr>
          <w:lang w:eastAsia="en-GB"/>
        </w:rPr>
        <w:t xml:space="preserve">o point on </w:t>
      </w:r>
      <w:bookmarkStart w:id="46" w:name="_Int_CzE8In5T"/>
      <w:r w:rsidR="3A62ED5B" w:rsidRPr="1540DD9B">
        <w:rPr>
          <w:lang w:eastAsia="en-GB"/>
        </w:rPr>
        <w:t>jurisdiction</w:t>
      </w:r>
      <w:bookmarkEnd w:id="46"/>
      <w:r w:rsidR="3A62ED5B" w:rsidRPr="1540DD9B">
        <w:rPr>
          <w:lang w:eastAsia="en-GB"/>
        </w:rPr>
        <w:t xml:space="preserve"> to hear this aspect of the appeal was originally taken by York</w:t>
      </w:r>
      <w:r w:rsidR="318B0CEB" w:rsidRPr="1540DD9B">
        <w:rPr>
          <w:lang w:eastAsia="en-GB"/>
        </w:rPr>
        <w:t>. T</w:t>
      </w:r>
      <w:r w:rsidR="3A62ED5B" w:rsidRPr="1540DD9B">
        <w:rPr>
          <w:lang w:eastAsia="en-GB"/>
        </w:rPr>
        <w:t xml:space="preserve">he Registrar drew the parties’ attention to the decision of the House of Lords </w:t>
      </w:r>
      <w:r w:rsidR="4A570153" w:rsidRPr="1540DD9B">
        <w:rPr>
          <w:lang w:eastAsia="en-GB"/>
        </w:rPr>
        <w:t xml:space="preserve">in </w:t>
      </w:r>
      <w:r w:rsidR="4A570153" w:rsidRPr="1540DD9B">
        <w:rPr>
          <w:i/>
          <w:iCs/>
          <w:lang w:eastAsia="en-GB"/>
        </w:rPr>
        <w:t>R v H</w:t>
      </w:r>
      <w:r w:rsidR="4A570153" w:rsidRPr="1540DD9B">
        <w:rPr>
          <w:lang w:eastAsia="en-GB"/>
        </w:rPr>
        <w:t xml:space="preserve"> [2007] 2 AC 270 in which the scope of both preparatory hearings and appeals f</w:t>
      </w:r>
      <w:r w:rsidR="64985239" w:rsidRPr="1540DD9B">
        <w:rPr>
          <w:lang w:eastAsia="en-GB"/>
        </w:rPr>
        <w:t xml:space="preserve">rom </w:t>
      </w:r>
      <w:r w:rsidR="1DBC8277" w:rsidRPr="1540DD9B">
        <w:rPr>
          <w:lang w:eastAsia="en-GB"/>
        </w:rPr>
        <w:t>such hearing</w:t>
      </w:r>
      <w:r w:rsidR="1AAA43A9" w:rsidRPr="1540DD9B">
        <w:rPr>
          <w:lang w:eastAsia="en-GB"/>
        </w:rPr>
        <w:t>s</w:t>
      </w:r>
      <w:r w:rsidR="1DBC8277" w:rsidRPr="1540DD9B">
        <w:rPr>
          <w:lang w:eastAsia="en-GB"/>
        </w:rPr>
        <w:t xml:space="preserve"> were considere</w:t>
      </w:r>
      <w:r w:rsidR="18C79D27" w:rsidRPr="1540DD9B">
        <w:rPr>
          <w:lang w:eastAsia="en-GB"/>
        </w:rPr>
        <w:t>d</w:t>
      </w:r>
      <w:r w:rsidR="6A6902A3" w:rsidRPr="1540DD9B">
        <w:rPr>
          <w:lang w:eastAsia="en-GB"/>
        </w:rPr>
        <w:t xml:space="preserve">. </w:t>
      </w:r>
      <w:r w:rsidR="18C79D27" w:rsidRPr="1540DD9B">
        <w:rPr>
          <w:lang w:eastAsia="en-GB"/>
        </w:rPr>
        <w:t xml:space="preserve">The statutory scheme under scrutiny was the predecessor </w:t>
      </w:r>
      <w:r w:rsidR="462EB3E7" w:rsidRPr="1540DD9B">
        <w:rPr>
          <w:lang w:eastAsia="en-GB"/>
        </w:rPr>
        <w:t>of</w:t>
      </w:r>
      <w:r w:rsidR="18C79D27" w:rsidRPr="1540DD9B">
        <w:rPr>
          <w:lang w:eastAsia="en-GB"/>
        </w:rPr>
        <w:t xml:space="preserve"> that found in the CPIA</w:t>
      </w:r>
      <w:r w:rsidR="6997E140" w:rsidRPr="1540DD9B">
        <w:rPr>
          <w:lang w:eastAsia="en-GB"/>
        </w:rPr>
        <w:t xml:space="preserve"> but</w:t>
      </w:r>
      <w:r w:rsidR="7E418650" w:rsidRPr="1540DD9B">
        <w:rPr>
          <w:lang w:eastAsia="en-GB"/>
        </w:rPr>
        <w:t xml:space="preserve"> it was almost</w:t>
      </w:r>
      <w:r w:rsidR="6997E140" w:rsidRPr="1540DD9B">
        <w:rPr>
          <w:lang w:eastAsia="en-GB"/>
        </w:rPr>
        <w:t xml:space="preserve"> identical in respects material to the question of whether an appeal lies.</w:t>
      </w:r>
      <w:r w:rsidR="15624A41" w:rsidRPr="1540DD9B">
        <w:rPr>
          <w:lang w:eastAsia="en-GB"/>
        </w:rPr>
        <w:t xml:space="preserve"> </w:t>
      </w:r>
      <w:r w:rsidR="15624A41" w:rsidRPr="1540DD9B">
        <w:rPr>
          <w:szCs w:val="24"/>
        </w:rPr>
        <w:t>For present purposes, both schemes require there to have been a determination or ruling “on a question of law</w:t>
      </w:r>
      <w:bookmarkStart w:id="47" w:name="_Int_Dux31t5s"/>
      <w:r w:rsidR="15624A41" w:rsidRPr="1540DD9B">
        <w:rPr>
          <w:szCs w:val="24"/>
        </w:rPr>
        <w:t>”</w:t>
      </w:r>
      <w:r w:rsidR="15624A41" w:rsidRPr="1540DD9B">
        <w:rPr>
          <w:rFonts w:ascii="Calibri" w:eastAsia="Calibri" w:hAnsi="Calibri" w:cs="Calibri"/>
          <w:sz w:val="22"/>
          <w:szCs w:val="22"/>
        </w:rPr>
        <w:t>.</w:t>
      </w:r>
      <w:bookmarkEnd w:id="47"/>
      <w:r w:rsidR="15624A41" w:rsidRPr="1540DD9B">
        <w:rPr>
          <w:rFonts w:ascii="Calibri" w:eastAsia="Calibri" w:hAnsi="Calibri" w:cs="Calibri"/>
          <w:sz w:val="22"/>
          <w:szCs w:val="22"/>
        </w:rPr>
        <w:t xml:space="preserve"> </w:t>
      </w:r>
      <w:r w:rsidR="15624A41" w:rsidRPr="1540DD9B">
        <w:t xml:space="preserve"> </w:t>
      </w:r>
      <w:r w:rsidR="2594C9EF" w:rsidRPr="1540DD9B">
        <w:rPr>
          <w:lang w:eastAsia="en-GB"/>
        </w:rPr>
        <w:t>T</w:t>
      </w:r>
      <w:r w:rsidR="118D77A8" w:rsidRPr="1540DD9B">
        <w:rPr>
          <w:lang w:eastAsia="en-GB"/>
        </w:rPr>
        <w:t xml:space="preserve">he parties </w:t>
      </w:r>
      <w:r w:rsidR="038F7B4B" w:rsidRPr="1540DD9B">
        <w:rPr>
          <w:lang w:eastAsia="en-GB"/>
        </w:rPr>
        <w:t>developed</w:t>
      </w:r>
      <w:r w:rsidR="118D77A8" w:rsidRPr="1540DD9B">
        <w:rPr>
          <w:lang w:eastAsia="en-GB"/>
        </w:rPr>
        <w:t xml:space="preserve"> arguments</w:t>
      </w:r>
      <w:r w:rsidR="2E1B10B2" w:rsidRPr="1540DD9B">
        <w:rPr>
          <w:lang w:eastAsia="en-GB"/>
        </w:rPr>
        <w:t xml:space="preserve"> on</w:t>
      </w:r>
      <w:r w:rsidR="118D77A8" w:rsidRPr="1540DD9B">
        <w:rPr>
          <w:lang w:eastAsia="en-GB"/>
        </w:rPr>
        <w:t xml:space="preserve"> the question whether this matter could be the subject of an appeal</w:t>
      </w:r>
      <w:r w:rsidR="588C2AE9" w:rsidRPr="1540DD9B">
        <w:rPr>
          <w:lang w:eastAsia="en-GB"/>
        </w:rPr>
        <w:t xml:space="preserve">. </w:t>
      </w:r>
      <w:r w:rsidR="092EBDA3" w:rsidRPr="1540DD9B">
        <w:rPr>
          <w:lang w:eastAsia="en-GB"/>
        </w:rPr>
        <w:t>They addressed t</w:t>
      </w:r>
      <w:r w:rsidR="5DD318BC" w:rsidRPr="1540DD9B">
        <w:rPr>
          <w:lang w:eastAsia="en-GB"/>
        </w:rPr>
        <w:t>he</w:t>
      </w:r>
      <w:r w:rsidR="092EBDA3" w:rsidRPr="1540DD9B">
        <w:rPr>
          <w:lang w:eastAsia="en-GB"/>
        </w:rPr>
        <w:t xml:space="preserve"> issue whether the ruling relating to Mr Rumford determined a question of law for the purposes of section </w:t>
      </w:r>
      <w:r w:rsidR="47D3A2D4" w:rsidRPr="1540DD9B">
        <w:rPr>
          <w:lang w:eastAsia="en-GB"/>
        </w:rPr>
        <w:t xml:space="preserve">31(3) of the CPIA and in consequence whether the Court of Appeal had </w:t>
      </w:r>
      <w:bookmarkStart w:id="48" w:name="_Int_kLFRTUsR"/>
      <w:r w:rsidR="47D3A2D4" w:rsidRPr="1540DD9B">
        <w:rPr>
          <w:lang w:eastAsia="en-GB"/>
        </w:rPr>
        <w:t>jurisdiction</w:t>
      </w:r>
      <w:bookmarkEnd w:id="48"/>
      <w:r w:rsidR="47D3A2D4" w:rsidRPr="1540DD9B">
        <w:rPr>
          <w:lang w:eastAsia="en-GB"/>
        </w:rPr>
        <w:t xml:space="preserve"> to consider an appeal pursuant to section 35.</w:t>
      </w:r>
    </w:p>
    <w:p w14:paraId="10B9D5FE" w14:textId="27F505AA" w:rsidR="2EA35CD6" w:rsidRDefault="00E4381E" w:rsidP="00EA0C29">
      <w:pPr>
        <w:pStyle w:val="ParaLevel1"/>
        <w:rPr>
          <w:lang w:eastAsia="en-GB"/>
        </w:rPr>
      </w:pPr>
      <w:r w:rsidRPr="1540DD9B">
        <w:rPr>
          <w:lang w:eastAsia="en-GB"/>
        </w:rPr>
        <w:t xml:space="preserve">In </w:t>
      </w:r>
      <w:r w:rsidR="2EA35CD6" w:rsidRPr="1540DD9B">
        <w:rPr>
          <w:i/>
          <w:iCs/>
          <w:lang w:eastAsia="en-GB"/>
        </w:rPr>
        <w:t>R v H</w:t>
      </w:r>
      <w:r w:rsidR="2EA35CD6" w:rsidRPr="1540DD9B">
        <w:rPr>
          <w:lang w:eastAsia="en-GB"/>
        </w:rPr>
        <w:t xml:space="preserve"> the Committee was divided on one of the substantive questions before it. That was whether </w:t>
      </w:r>
      <w:r w:rsidR="2DBDAC86" w:rsidRPr="1540DD9B">
        <w:rPr>
          <w:lang w:eastAsia="en-GB"/>
        </w:rPr>
        <w:t>the</w:t>
      </w:r>
      <w:r w:rsidR="2EA35CD6" w:rsidRPr="1540DD9B">
        <w:rPr>
          <w:lang w:eastAsia="en-GB"/>
        </w:rPr>
        <w:t xml:space="preserve"> application for disclosure</w:t>
      </w:r>
      <w:r w:rsidR="118D77A8" w:rsidRPr="1540DD9B">
        <w:rPr>
          <w:lang w:eastAsia="en-GB"/>
        </w:rPr>
        <w:t xml:space="preserve"> </w:t>
      </w:r>
      <w:r w:rsidR="56AD08D5" w:rsidRPr="1540DD9B">
        <w:rPr>
          <w:lang w:eastAsia="en-GB"/>
        </w:rPr>
        <w:t xml:space="preserve">in issue </w:t>
      </w:r>
      <w:r w:rsidR="22DE9452" w:rsidRPr="1540DD9B">
        <w:rPr>
          <w:lang w:eastAsia="en-GB"/>
        </w:rPr>
        <w:t xml:space="preserve">could be determined as </w:t>
      </w:r>
      <w:r w:rsidR="22DE9452" w:rsidRPr="1540DD9B">
        <w:rPr>
          <w:i/>
          <w:iCs/>
          <w:lang w:eastAsia="en-GB"/>
        </w:rPr>
        <w:t>part</w:t>
      </w:r>
      <w:r w:rsidR="22DE9452" w:rsidRPr="1540DD9B">
        <w:rPr>
          <w:lang w:eastAsia="en-GB"/>
        </w:rPr>
        <w:t xml:space="preserve"> of a preparatory hearing or merely at the </w:t>
      </w:r>
      <w:r w:rsidR="22DE9452" w:rsidRPr="1540DD9B">
        <w:rPr>
          <w:i/>
          <w:iCs/>
          <w:lang w:eastAsia="en-GB"/>
        </w:rPr>
        <w:t>same time</w:t>
      </w:r>
      <w:r w:rsidR="22DE9452" w:rsidRPr="1540DD9B">
        <w:rPr>
          <w:lang w:eastAsia="en-GB"/>
        </w:rPr>
        <w:t xml:space="preserve"> as a preparatory hearing</w:t>
      </w:r>
      <w:r w:rsidR="31CA2126" w:rsidRPr="1540DD9B">
        <w:rPr>
          <w:lang w:eastAsia="en-GB"/>
        </w:rPr>
        <w:t>.</w:t>
      </w:r>
      <w:r w:rsidR="4ED3E879" w:rsidRPr="1540DD9B">
        <w:rPr>
          <w:lang w:eastAsia="en-GB"/>
        </w:rPr>
        <w:t xml:space="preserve"> Lords Nicholls of Birkenhead and Scott of Foscote favoured the </w:t>
      </w:r>
      <w:r w:rsidR="260AC2F7" w:rsidRPr="1540DD9B">
        <w:rPr>
          <w:lang w:eastAsia="en-GB"/>
        </w:rPr>
        <w:t>first approach but the majority (Lords Hope of Craighead, Rodger of Earlsferry and Mance) the second.</w:t>
      </w:r>
      <w:r w:rsidR="246EF132" w:rsidRPr="1540DD9B">
        <w:rPr>
          <w:lang w:eastAsia="en-GB"/>
        </w:rPr>
        <w:t xml:space="preserve"> That difference does not affect the </w:t>
      </w:r>
      <w:r w:rsidR="32983E38" w:rsidRPr="1540DD9B">
        <w:rPr>
          <w:lang w:eastAsia="en-GB"/>
        </w:rPr>
        <w:t>question</w:t>
      </w:r>
      <w:r w:rsidR="246EF132" w:rsidRPr="1540DD9B">
        <w:rPr>
          <w:lang w:eastAsia="en-GB"/>
        </w:rPr>
        <w:t xml:space="preserve"> before us.</w:t>
      </w:r>
      <w:r w:rsidR="1CEDF6F6" w:rsidRPr="1540DD9B">
        <w:rPr>
          <w:lang w:eastAsia="en-GB"/>
        </w:rPr>
        <w:t xml:space="preserve"> Nonetheless, al</w:t>
      </w:r>
      <w:r w:rsidR="260AC2F7" w:rsidRPr="1540DD9B">
        <w:rPr>
          <w:lang w:eastAsia="en-GB"/>
        </w:rPr>
        <w:t xml:space="preserve">l </w:t>
      </w:r>
      <w:r w:rsidR="00F74936" w:rsidRPr="1540DD9B">
        <w:rPr>
          <w:lang w:eastAsia="en-GB"/>
        </w:rPr>
        <w:t>five Law Lords</w:t>
      </w:r>
      <w:r w:rsidR="00C67C91" w:rsidRPr="1540DD9B">
        <w:rPr>
          <w:lang w:eastAsia="en-GB"/>
        </w:rPr>
        <w:t xml:space="preserve"> agreed</w:t>
      </w:r>
      <w:r w:rsidR="260AC2F7" w:rsidRPr="1540DD9B">
        <w:rPr>
          <w:lang w:eastAsia="en-GB"/>
        </w:rPr>
        <w:t xml:space="preserve"> that the disclosure ruling in</w:t>
      </w:r>
      <w:r w:rsidR="79143AE9" w:rsidRPr="1540DD9B">
        <w:rPr>
          <w:lang w:eastAsia="en-GB"/>
        </w:rPr>
        <w:t xml:space="preserve"> question did not </w:t>
      </w:r>
      <w:r w:rsidR="785F220E" w:rsidRPr="1540DD9B">
        <w:rPr>
          <w:lang w:eastAsia="en-GB"/>
        </w:rPr>
        <w:t>“</w:t>
      </w:r>
      <w:r w:rsidR="79143AE9" w:rsidRPr="1540DD9B">
        <w:rPr>
          <w:lang w:eastAsia="en-GB"/>
        </w:rPr>
        <w:t>determine</w:t>
      </w:r>
      <w:r w:rsidR="7E8998F6" w:rsidRPr="1540DD9B">
        <w:rPr>
          <w:lang w:eastAsia="en-GB"/>
        </w:rPr>
        <w:t>”</w:t>
      </w:r>
      <w:r w:rsidR="11C042FD" w:rsidRPr="1540DD9B">
        <w:rPr>
          <w:lang w:eastAsia="en-GB"/>
        </w:rPr>
        <w:t xml:space="preserve"> a</w:t>
      </w:r>
      <w:r w:rsidR="22DE9452" w:rsidRPr="1540DD9B">
        <w:rPr>
          <w:lang w:eastAsia="en-GB"/>
        </w:rPr>
        <w:t xml:space="preserve"> </w:t>
      </w:r>
      <w:r w:rsidR="617EF287" w:rsidRPr="1540DD9B">
        <w:rPr>
          <w:lang w:eastAsia="en-GB"/>
        </w:rPr>
        <w:t>“</w:t>
      </w:r>
      <w:r w:rsidR="25579396" w:rsidRPr="1540DD9B">
        <w:rPr>
          <w:lang w:eastAsia="en-GB"/>
        </w:rPr>
        <w:t>question of law relating to the case</w:t>
      </w:r>
      <w:bookmarkStart w:id="49" w:name="_Int_oki0kc3B"/>
      <w:r w:rsidR="3E1FB67F" w:rsidRPr="1540DD9B">
        <w:rPr>
          <w:lang w:eastAsia="en-GB"/>
        </w:rPr>
        <w:t>”.</w:t>
      </w:r>
      <w:bookmarkEnd w:id="49"/>
      <w:r w:rsidR="3E1FB67F" w:rsidRPr="1540DD9B">
        <w:rPr>
          <w:lang w:eastAsia="en-GB"/>
        </w:rPr>
        <w:t xml:space="preserve"> </w:t>
      </w:r>
      <w:r w:rsidR="3830B78A" w:rsidRPr="1540DD9B">
        <w:rPr>
          <w:lang w:eastAsia="en-GB"/>
        </w:rPr>
        <w:t xml:space="preserve">The words just quoted come from section 9 of the Criminal Justice Act 1987. </w:t>
      </w:r>
      <w:r w:rsidR="00C67C91" w:rsidRPr="1540DD9B">
        <w:rPr>
          <w:lang w:eastAsia="en-GB"/>
        </w:rPr>
        <w:t>They</w:t>
      </w:r>
      <w:r w:rsidR="3830B78A" w:rsidRPr="1540DD9B">
        <w:rPr>
          <w:lang w:eastAsia="en-GB"/>
        </w:rPr>
        <w:t xml:space="preserve"> agreed that t</w:t>
      </w:r>
      <w:r w:rsidR="429199A5" w:rsidRPr="1540DD9B">
        <w:rPr>
          <w:lang w:eastAsia="en-GB"/>
        </w:rPr>
        <w:t xml:space="preserve">here was no </w:t>
      </w:r>
      <w:r w:rsidR="00E1076C" w:rsidRPr="1540DD9B">
        <w:rPr>
          <w:lang w:eastAsia="en-GB"/>
        </w:rPr>
        <w:t>determination of a question of law</w:t>
      </w:r>
      <w:r w:rsidR="429199A5" w:rsidRPr="1540DD9B">
        <w:rPr>
          <w:lang w:eastAsia="en-GB"/>
        </w:rPr>
        <w:t xml:space="preserve"> but </w:t>
      </w:r>
      <w:bookmarkStart w:id="50" w:name="_Int_FfdCqQah"/>
      <w:r w:rsidR="429199A5" w:rsidRPr="1540DD9B">
        <w:rPr>
          <w:lang w:eastAsia="en-GB"/>
        </w:rPr>
        <w:t>rather an</w:t>
      </w:r>
      <w:bookmarkEnd w:id="50"/>
      <w:r w:rsidR="429199A5" w:rsidRPr="1540DD9B">
        <w:rPr>
          <w:lang w:eastAsia="en-GB"/>
        </w:rPr>
        <w:t xml:space="preserve"> orthodox evaluation of factual matters</w:t>
      </w:r>
      <w:r w:rsidR="2F6F5EA9" w:rsidRPr="1540DD9B">
        <w:rPr>
          <w:lang w:eastAsia="en-GB"/>
        </w:rPr>
        <w:t xml:space="preserve"> resulting in the decision on disclosure</w:t>
      </w:r>
      <w:r w:rsidR="429199A5" w:rsidRPr="1540DD9B">
        <w:rPr>
          <w:lang w:eastAsia="en-GB"/>
        </w:rPr>
        <w:t xml:space="preserve">. </w:t>
      </w:r>
      <w:r w:rsidR="542A373A" w:rsidRPr="1540DD9B">
        <w:rPr>
          <w:lang w:eastAsia="en-GB"/>
        </w:rPr>
        <w:t>Therefore, a</w:t>
      </w:r>
      <w:r w:rsidR="4DD96065" w:rsidRPr="1540DD9B">
        <w:rPr>
          <w:lang w:eastAsia="en-GB"/>
        </w:rPr>
        <w:t>n appeal did not lie</w:t>
      </w:r>
      <w:r w:rsidR="3E1FB67F" w:rsidRPr="1540DD9B">
        <w:rPr>
          <w:lang w:eastAsia="en-GB"/>
        </w:rPr>
        <w:t xml:space="preserve"> to the Court of Appeal</w:t>
      </w:r>
      <w:r w:rsidR="24F7CC60" w:rsidRPr="1540DD9B">
        <w:rPr>
          <w:lang w:eastAsia="en-GB"/>
        </w:rPr>
        <w:t xml:space="preserve"> under the legislation governing preparatory hearings</w:t>
      </w:r>
      <w:r w:rsidR="623A8C57" w:rsidRPr="1540DD9B">
        <w:rPr>
          <w:lang w:eastAsia="en-GB"/>
        </w:rPr>
        <w:t xml:space="preserve">. </w:t>
      </w:r>
      <w:r w:rsidR="49B5AB42" w:rsidRPr="1540DD9B">
        <w:rPr>
          <w:lang w:eastAsia="en-GB"/>
        </w:rPr>
        <w:t xml:space="preserve">The language is the same in section </w:t>
      </w:r>
      <w:r w:rsidR="6A6125B1" w:rsidRPr="1540DD9B">
        <w:rPr>
          <w:lang w:eastAsia="en-GB"/>
        </w:rPr>
        <w:t xml:space="preserve">31(3) of the CPIA save that the word “determine” </w:t>
      </w:r>
      <w:r w:rsidR="2171624C" w:rsidRPr="1540DD9B">
        <w:rPr>
          <w:lang w:eastAsia="en-GB"/>
        </w:rPr>
        <w:t>has been</w:t>
      </w:r>
      <w:r w:rsidR="6A6125B1" w:rsidRPr="1540DD9B">
        <w:rPr>
          <w:lang w:eastAsia="en-GB"/>
        </w:rPr>
        <w:t xml:space="preserve"> replaced by “make a ruling as to”. </w:t>
      </w:r>
      <w:r w:rsidR="29060AE3" w:rsidRPr="1540DD9B">
        <w:rPr>
          <w:lang w:eastAsia="en-GB"/>
        </w:rPr>
        <w:t>We</w:t>
      </w:r>
      <w:r w:rsidR="4FC178F0" w:rsidRPr="1540DD9B">
        <w:rPr>
          <w:lang w:eastAsia="en-GB"/>
        </w:rPr>
        <w:t xml:space="preserve"> heard no argument</w:t>
      </w:r>
      <w:r w:rsidR="29060AE3" w:rsidRPr="1540DD9B">
        <w:rPr>
          <w:lang w:eastAsia="en-GB"/>
        </w:rPr>
        <w:t xml:space="preserve"> on whether that change has made a difference to the statutory scheme but, in any event, are satisfied that for the purposes of this appeal </w:t>
      </w:r>
      <w:r w:rsidR="53F51A48" w:rsidRPr="1540DD9B">
        <w:rPr>
          <w:lang w:eastAsia="en-GB"/>
        </w:rPr>
        <w:t>it is immaterial.</w:t>
      </w:r>
    </w:p>
    <w:p w14:paraId="6FDF57C9" w14:textId="6E5C9BDC" w:rsidR="18C7403D" w:rsidRDefault="18C7403D" w:rsidP="00EA0C29">
      <w:pPr>
        <w:pStyle w:val="ParaLevel1"/>
        <w:rPr>
          <w:lang w:eastAsia="en-GB"/>
        </w:rPr>
      </w:pPr>
      <w:r w:rsidRPr="1540DD9B">
        <w:rPr>
          <w:lang w:eastAsia="en-GB"/>
        </w:rPr>
        <w:t>In our view</w:t>
      </w:r>
      <w:r w:rsidR="53F51A48" w:rsidRPr="1540DD9B">
        <w:rPr>
          <w:lang w:eastAsia="en-GB"/>
        </w:rPr>
        <w:t xml:space="preserve"> </w:t>
      </w:r>
      <w:r w:rsidR="322D0302" w:rsidRPr="1540DD9B">
        <w:rPr>
          <w:lang w:eastAsia="en-GB"/>
        </w:rPr>
        <w:t>HHJ</w:t>
      </w:r>
      <w:r w:rsidR="53F51A48" w:rsidRPr="1540DD9B">
        <w:rPr>
          <w:lang w:eastAsia="en-GB"/>
        </w:rPr>
        <w:t xml:space="preserve"> Burn’s consideration of the </w:t>
      </w:r>
      <w:r w:rsidR="00D84B42" w:rsidRPr="1540DD9B">
        <w:rPr>
          <w:lang w:eastAsia="en-GB"/>
        </w:rPr>
        <w:t xml:space="preserve">way in which York conducted the proceedings in the </w:t>
      </w:r>
      <w:r w:rsidR="00F629AA" w:rsidRPr="1540DD9B">
        <w:rPr>
          <w:lang w:eastAsia="en-GB"/>
        </w:rPr>
        <w:t>Crown</w:t>
      </w:r>
      <w:r w:rsidR="00D84B42" w:rsidRPr="1540DD9B">
        <w:rPr>
          <w:lang w:eastAsia="en-GB"/>
        </w:rPr>
        <w:t xml:space="preserve"> Court</w:t>
      </w:r>
      <w:r w:rsidR="00F629AA" w:rsidRPr="1540DD9B">
        <w:rPr>
          <w:lang w:eastAsia="en-GB"/>
        </w:rPr>
        <w:t xml:space="preserve"> and</w:t>
      </w:r>
      <w:r w:rsidR="53F51A48" w:rsidRPr="1540DD9B">
        <w:rPr>
          <w:lang w:eastAsia="en-GB"/>
        </w:rPr>
        <w:t xml:space="preserve"> the consequences of </w:t>
      </w:r>
      <w:r w:rsidR="00F629AA" w:rsidRPr="1540DD9B">
        <w:rPr>
          <w:lang w:eastAsia="en-GB"/>
        </w:rPr>
        <w:t>Mr Rumford’s</w:t>
      </w:r>
      <w:r w:rsidR="53F51A48" w:rsidRPr="1540DD9B">
        <w:rPr>
          <w:lang w:eastAsia="en-GB"/>
        </w:rPr>
        <w:t xml:space="preserve"> lack of legal qualifications</w:t>
      </w:r>
      <w:r w:rsidR="72C9281B" w:rsidRPr="1540DD9B">
        <w:rPr>
          <w:lang w:eastAsia="en-GB"/>
        </w:rPr>
        <w:t xml:space="preserve"> involved his making a ruling on questions of law rela</w:t>
      </w:r>
      <w:r w:rsidR="0A59E982" w:rsidRPr="1540DD9B">
        <w:rPr>
          <w:lang w:eastAsia="en-GB"/>
        </w:rPr>
        <w:t>ting</w:t>
      </w:r>
      <w:r w:rsidR="72C9281B" w:rsidRPr="1540DD9B">
        <w:rPr>
          <w:lang w:eastAsia="en-GB"/>
        </w:rPr>
        <w:t xml:space="preserve"> to the case. Whilst it </w:t>
      </w:r>
      <w:r w:rsidR="59D6CAE1" w:rsidRPr="1540DD9B">
        <w:rPr>
          <w:lang w:eastAsia="en-GB"/>
        </w:rPr>
        <w:t>was</w:t>
      </w:r>
      <w:r w:rsidR="72C9281B" w:rsidRPr="1540DD9B">
        <w:rPr>
          <w:lang w:eastAsia="en-GB"/>
        </w:rPr>
        <w:t xml:space="preserve"> common ground </w:t>
      </w:r>
      <w:r w:rsidR="734446E5" w:rsidRPr="1540DD9B">
        <w:rPr>
          <w:lang w:eastAsia="en-GB"/>
        </w:rPr>
        <w:t xml:space="preserve">factually </w:t>
      </w:r>
      <w:r w:rsidR="72C9281B" w:rsidRPr="1540DD9B">
        <w:rPr>
          <w:lang w:eastAsia="en-GB"/>
        </w:rPr>
        <w:t xml:space="preserve">that Mr Rumford is neither a </w:t>
      </w:r>
      <w:r w:rsidR="233B6DAB" w:rsidRPr="1540DD9B">
        <w:rPr>
          <w:lang w:eastAsia="en-GB"/>
        </w:rPr>
        <w:t xml:space="preserve">solicitor nor a barrister </w:t>
      </w:r>
      <w:r w:rsidR="227DC53C" w:rsidRPr="1540DD9B">
        <w:rPr>
          <w:lang w:eastAsia="en-GB"/>
        </w:rPr>
        <w:t>with rights to conduct litigation, the judge determined a question of law</w:t>
      </w:r>
      <w:r w:rsidR="274100F4" w:rsidRPr="1540DD9B">
        <w:rPr>
          <w:lang w:eastAsia="en-GB"/>
        </w:rPr>
        <w:t>, namely</w:t>
      </w:r>
      <w:r w:rsidR="227DC53C" w:rsidRPr="1540DD9B">
        <w:rPr>
          <w:lang w:eastAsia="en-GB"/>
        </w:rPr>
        <w:t xml:space="preserve"> whether he was nonetheless</w:t>
      </w:r>
      <w:r w:rsidR="228BCCF7" w:rsidRPr="1540DD9B">
        <w:rPr>
          <w:lang w:eastAsia="en-GB"/>
        </w:rPr>
        <w:t xml:space="preserve"> an “exempt person” for the purposes of Paragraph 2(4) of </w:t>
      </w:r>
      <w:r w:rsidR="009D55C9" w:rsidRPr="1540DD9B">
        <w:rPr>
          <w:lang w:eastAsia="en-GB"/>
        </w:rPr>
        <w:t>s</w:t>
      </w:r>
      <w:r w:rsidR="228BCCF7" w:rsidRPr="1540DD9B">
        <w:rPr>
          <w:lang w:eastAsia="en-GB"/>
        </w:rPr>
        <w:t xml:space="preserve">chedule 3 to the </w:t>
      </w:r>
      <w:r w:rsidR="742AC707" w:rsidRPr="1540DD9B">
        <w:rPr>
          <w:lang w:eastAsia="en-GB"/>
        </w:rPr>
        <w:t>LSA 2007</w:t>
      </w:r>
      <w:r w:rsidR="0A837D46" w:rsidRPr="1540DD9B">
        <w:rPr>
          <w:lang w:eastAsia="en-GB"/>
        </w:rPr>
        <w:t xml:space="preserve">. </w:t>
      </w:r>
      <w:r w:rsidR="47AB6BF9" w:rsidRPr="1540DD9B">
        <w:rPr>
          <w:lang w:eastAsia="en-GB"/>
        </w:rPr>
        <w:t xml:space="preserve">Having concluded that he was not an exempt </w:t>
      </w:r>
      <w:r w:rsidR="329B8D4E" w:rsidRPr="1540DD9B">
        <w:rPr>
          <w:lang w:eastAsia="en-GB"/>
        </w:rPr>
        <w:t>person</w:t>
      </w:r>
      <w:r w:rsidR="47AB6BF9" w:rsidRPr="1540DD9B">
        <w:rPr>
          <w:lang w:eastAsia="en-GB"/>
        </w:rPr>
        <w:t>, the consequences which flowed from that</w:t>
      </w:r>
      <w:r w:rsidR="04171D52" w:rsidRPr="1540DD9B">
        <w:rPr>
          <w:lang w:eastAsia="en-GB"/>
        </w:rPr>
        <w:t xml:space="preserve"> required the judge to determine questions of law</w:t>
      </w:r>
      <w:r w:rsidR="00A5610C" w:rsidRPr="1540DD9B">
        <w:rPr>
          <w:lang w:eastAsia="en-GB"/>
        </w:rPr>
        <w:t xml:space="preserve"> relating to nullity</w:t>
      </w:r>
      <w:r w:rsidR="00B812B8" w:rsidRPr="1540DD9B">
        <w:rPr>
          <w:lang w:eastAsia="en-GB"/>
        </w:rPr>
        <w:t xml:space="preserve"> and abuse.</w:t>
      </w:r>
      <w:r w:rsidR="29AC3BBC" w:rsidRPr="1540DD9B">
        <w:rPr>
          <w:lang w:eastAsia="en-GB"/>
        </w:rPr>
        <w:t xml:space="preserve"> The appeal is competent.</w:t>
      </w:r>
    </w:p>
    <w:p w14:paraId="34E6D1DF" w14:textId="3F475602" w:rsidR="5DAE37CA" w:rsidRDefault="5DAE37CA" w:rsidP="00EA0C29">
      <w:pPr>
        <w:pStyle w:val="ParaLevel1"/>
        <w:numPr>
          <w:ilvl w:val="0"/>
          <w:numId w:val="0"/>
        </w:numPr>
        <w:rPr>
          <w:lang w:eastAsia="en-GB"/>
        </w:rPr>
      </w:pPr>
      <w:r w:rsidRPr="6FDC3C26">
        <w:rPr>
          <w:i/>
          <w:iCs/>
          <w:lang w:eastAsia="en-GB"/>
        </w:rPr>
        <w:t>Mr Rumford and the Statutory Scheme</w:t>
      </w:r>
    </w:p>
    <w:p w14:paraId="7464E9A8" w14:textId="24BB4940" w:rsidR="00FB4EA1" w:rsidRPr="005B70EA" w:rsidRDefault="658531A1" w:rsidP="00EA0C29">
      <w:pPr>
        <w:pStyle w:val="ParaLevel1"/>
        <w:rPr>
          <w:lang w:eastAsia="en-GB"/>
        </w:rPr>
      </w:pPr>
      <w:r w:rsidRPr="1540DD9B">
        <w:rPr>
          <w:lang w:eastAsia="en-GB"/>
        </w:rPr>
        <w:t xml:space="preserve">The main purpose of </w:t>
      </w:r>
      <w:r w:rsidR="15ACA119" w:rsidRPr="1540DD9B">
        <w:rPr>
          <w:lang w:eastAsia="en-GB"/>
        </w:rPr>
        <w:t>Mr Ru</w:t>
      </w:r>
      <w:r w:rsidR="6EFF1354" w:rsidRPr="1540DD9B">
        <w:rPr>
          <w:lang w:eastAsia="en-GB"/>
        </w:rPr>
        <w:t>m</w:t>
      </w:r>
      <w:r w:rsidR="15ACA119" w:rsidRPr="1540DD9B">
        <w:rPr>
          <w:lang w:eastAsia="en-GB"/>
        </w:rPr>
        <w:t>ford’s</w:t>
      </w:r>
      <w:r w:rsidRPr="1540DD9B">
        <w:rPr>
          <w:lang w:eastAsia="en-GB"/>
        </w:rPr>
        <w:t xml:space="preserve"> </w:t>
      </w:r>
      <w:r w:rsidR="70CA7977" w:rsidRPr="1540DD9B">
        <w:rPr>
          <w:lang w:eastAsia="en-GB"/>
        </w:rPr>
        <w:t>role</w:t>
      </w:r>
      <w:r w:rsidRPr="1540DD9B">
        <w:rPr>
          <w:lang w:eastAsia="en-GB"/>
        </w:rPr>
        <w:t xml:space="preserve">, as recorded in </w:t>
      </w:r>
      <w:r w:rsidR="45A3C409" w:rsidRPr="1540DD9B">
        <w:rPr>
          <w:lang w:eastAsia="en-GB"/>
        </w:rPr>
        <w:t>his</w:t>
      </w:r>
      <w:r w:rsidRPr="1540DD9B">
        <w:rPr>
          <w:lang w:eastAsia="en-GB"/>
        </w:rPr>
        <w:t xml:space="preserve"> job description, is “to lead a grant funded trading standards investigation and enforcement team to tackle the </w:t>
      </w:r>
      <w:r w:rsidR="3A966492" w:rsidRPr="1540DD9B">
        <w:rPr>
          <w:lang w:eastAsia="en-GB"/>
        </w:rPr>
        <w:t>complex</w:t>
      </w:r>
      <w:r w:rsidRPr="1540DD9B">
        <w:rPr>
          <w:lang w:eastAsia="en-GB"/>
        </w:rPr>
        <w:t xml:space="preserve"> cases of consumer </w:t>
      </w:r>
      <w:r w:rsidR="0211F78C" w:rsidRPr="1540DD9B">
        <w:rPr>
          <w:lang w:eastAsia="en-GB"/>
        </w:rPr>
        <w:t xml:space="preserve">fraud </w:t>
      </w:r>
      <w:r w:rsidR="58D9BFE7" w:rsidRPr="1540DD9B">
        <w:rPr>
          <w:lang w:eastAsia="en-GB"/>
        </w:rPr>
        <w:t>perpetrated</w:t>
      </w:r>
      <w:r w:rsidR="0211F78C" w:rsidRPr="1540DD9B">
        <w:rPr>
          <w:lang w:eastAsia="en-GB"/>
        </w:rPr>
        <w:t xml:space="preserve"> on</w:t>
      </w:r>
      <w:r w:rsidR="053AB8BD" w:rsidRPr="1540DD9B">
        <w:rPr>
          <w:lang w:eastAsia="en-GB"/>
        </w:rPr>
        <w:t xml:space="preserve"> a regional and national basis.” </w:t>
      </w:r>
      <w:r w:rsidR="00791394" w:rsidRPr="1540DD9B">
        <w:rPr>
          <w:lang w:eastAsia="en-GB"/>
        </w:rPr>
        <w:t>H</w:t>
      </w:r>
      <w:r w:rsidR="053AB8BD" w:rsidRPr="1540DD9B">
        <w:rPr>
          <w:lang w:eastAsia="en-GB"/>
        </w:rPr>
        <w:t xml:space="preserve">e was </w:t>
      </w:r>
      <w:r w:rsidR="053AB8BD" w:rsidRPr="1540DD9B">
        <w:rPr>
          <w:lang w:eastAsia="en-GB"/>
        </w:rPr>
        <w:lastRenderedPageBreak/>
        <w:t>in overall charge of the investigations with which the York case i</w:t>
      </w:r>
      <w:r w:rsidR="29D9D44B" w:rsidRPr="1540DD9B">
        <w:rPr>
          <w:lang w:eastAsia="en-GB"/>
        </w:rPr>
        <w:t>s</w:t>
      </w:r>
      <w:r w:rsidR="053AB8BD" w:rsidRPr="1540DD9B">
        <w:rPr>
          <w:lang w:eastAsia="en-GB"/>
        </w:rPr>
        <w:t xml:space="preserve"> concerned</w:t>
      </w:r>
      <w:r w:rsidR="009152DA" w:rsidRPr="1540DD9B">
        <w:rPr>
          <w:lang w:eastAsia="en-GB"/>
        </w:rPr>
        <w:t xml:space="preserve"> and ran the case on their behalf in both </w:t>
      </w:r>
      <w:r w:rsidR="41DD0CCA" w:rsidRPr="1540DD9B">
        <w:rPr>
          <w:lang w:eastAsia="en-GB"/>
        </w:rPr>
        <w:t>t</w:t>
      </w:r>
      <w:r w:rsidR="009152DA" w:rsidRPr="1540DD9B">
        <w:rPr>
          <w:lang w:eastAsia="en-GB"/>
        </w:rPr>
        <w:t xml:space="preserve">he </w:t>
      </w:r>
      <w:r w:rsidR="6F40D1FD" w:rsidRPr="1540DD9B">
        <w:rPr>
          <w:lang w:eastAsia="en-GB"/>
        </w:rPr>
        <w:t>Magistrates</w:t>
      </w:r>
      <w:r w:rsidR="009152DA" w:rsidRPr="1540DD9B">
        <w:rPr>
          <w:lang w:eastAsia="en-GB"/>
        </w:rPr>
        <w:t>’ and Crown Courts.</w:t>
      </w:r>
    </w:p>
    <w:p w14:paraId="706550C8" w14:textId="4A395D7E" w:rsidR="00FB4EA1" w:rsidRPr="005B70EA" w:rsidRDefault="148A9B80" w:rsidP="00EA0C29">
      <w:pPr>
        <w:pStyle w:val="ParaLevel1"/>
        <w:rPr>
          <w:lang w:eastAsia="en-GB"/>
        </w:rPr>
      </w:pPr>
      <w:r w:rsidRPr="1540DD9B">
        <w:rPr>
          <w:lang w:eastAsia="en-GB"/>
        </w:rPr>
        <w:t>The conduct of litigation is a “</w:t>
      </w:r>
      <w:r w:rsidR="7C0F9F89" w:rsidRPr="1540DD9B">
        <w:rPr>
          <w:lang w:eastAsia="en-GB"/>
        </w:rPr>
        <w:t>reserved legal activity</w:t>
      </w:r>
      <w:r w:rsidR="1AF131E4" w:rsidRPr="1540DD9B">
        <w:rPr>
          <w:lang w:eastAsia="en-GB"/>
        </w:rPr>
        <w:t xml:space="preserve">” for the purposes of Part 3 of the LSA 2007: section 12(1)(b). </w:t>
      </w:r>
      <w:r w:rsidR="45318454" w:rsidRPr="1540DD9B">
        <w:rPr>
          <w:lang w:eastAsia="en-GB"/>
        </w:rPr>
        <w:t>Paragraph 4</w:t>
      </w:r>
      <w:r w:rsidR="30BEB879" w:rsidRPr="1540DD9B">
        <w:rPr>
          <w:lang w:eastAsia="en-GB"/>
        </w:rPr>
        <w:t>(1)</w:t>
      </w:r>
      <w:r w:rsidR="45318454" w:rsidRPr="1540DD9B">
        <w:rPr>
          <w:lang w:eastAsia="en-GB"/>
        </w:rPr>
        <w:t xml:space="preserve"> of </w:t>
      </w:r>
      <w:r w:rsidR="00B62FD4" w:rsidRPr="1540DD9B">
        <w:rPr>
          <w:lang w:eastAsia="en-GB"/>
        </w:rPr>
        <w:t>s</w:t>
      </w:r>
      <w:r w:rsidR="45318454" w:rsidRPr="1540DD9B">
        <w:rPr>
          <w:lang w:eastAsia="en-GB"/>
        </w:rPr>
        <w:t xml:space="preserve">chedule </w:t>
      </w:r>
      <w:r w:rsidR="001A4ED2" w:rsidRPr="1540DD9B">
        <w:rPr>
          <w:lang w:eastAsia="en-GB"/>
        </w:rPr>
        <w:t>2</w:t>
      </w:r>
      <w:r w:rsidR="45318454" w:rsidRPr="1540DD9B">
        <w:rPr>
          <w:lang w:eastAsia="en-GB"/>
        </w:rPr>
        <w:t xml:space="preserve"> defines “cond</w:t>
      </w:r>
      <w:r w:rsidR="7126D87B" w:rsidRPr="1540DD9B">
        <w:rPr>
          <w:lang w:eastAsia="en-GB"/>
        </w:rPr>
        <w:t xml:space="preserve">uct of litigation” as meaning “(a) the issuing of proceedings before any court in </w:t>
      </w:r>
      <w:r w:rsidR="2FCBBDAD" w:rsidRPr="1540DD9B">
        <w:rPr>
          <w:lang w:eastAsia="en-GB"/>
        </w:rPr>
        <w:t>England</w:t>
      </w:r>
      <w:r w:rsidR="7126D87B" w:rsidRPr="1540DD9B">
        <w:rPr>
          <w:lang w:eastAsia="en-GB"/>
        </w:rPr>
        <w:t xml:space="preserve"> and Wales, (b) the commencement, pro</w:t>
      </w:r>
      <w:r w:rsidR="4A13A52A" w:rsidRPr="1540DD9B">
        <w:rPr>
          <w:lang w:eastAsia="en-GB"/>
        </w:rPr>
        <w:t>secution and defence of such proceedings</w:t>
      </w:r>
      <w:r w:rsidR="72848D61" w:rsidRPr="1540DD9B">
        <w:rPr>
          <w:lang w:eastAsia="en-GB"/>
        </w:rPr>
        <w:t xml:space="preserve">, and (c) the performance of any ancillary </w:t>
      </w:r>
      <w:r w:rsidR="6E70A2DE" w:rsidRPr="1540DD9B">
        <w:rPr>
          <w:lang w:eastAsia="en-GB"/>
        </w:rPr>
        <w:t>functions</w:t>
      </w:r>
      <w:r w:rsidR="72848D61" w:rsidRPr="1540DD9B">
        <w:rPr>
          <w:lang w:eastAsia="en-GB"/>
        </w:rPr>
        <w:t xml:space="preserve"> in relation to such proceedings (such as entering appearances to actions</w:t>
      </w:r>
      <w:r w:rsidR="1700AEDC" w:rsidRPr="1540DD9B">
        <w:rPr>
          <w:lang w:eastAsia="en-GB"/>
        </w:rPr>
        <w:t>).”</w:t>
      </w:r>
      <w:r w:rsidR="60215669" w:rsidRPr="1540DD9B">
        <w:rPr>
          <w:lang w:eastAsia="en-GB"/>
        </w:rPr>
        <w:t xml:space="preserve"> </w:t>
      </w:r>
      <w:r w:rsidR="1700AEDC" w:rsidRPr="1540DD9B">
        <w:rPr>
          <w:lang w:eastAsia="en-GB"/>
        </w:rPr>
        <w:t xml:space="preserve"> </w:t>
      </w:r>
      <w:r w:rsidR="6072A681" w:rsidRPr="1540DD9B">
        <w:rPr>
          <w:lang w:eastAsia="en-GB"/>
        </w:rPr>
        <w:t>Paragraph (2) excludes</w:t>
      </w:r>
      <w:r w:rsidR="5755DA80" w:rsidRPr="1540DD9B">
        <w:rPr>
          <w:lang w:eastAsia="en-GB"/>
        </w:rPr>
        <w:t xml:space="preserve"> </w:t>
      </w:r>
      <w:r w:rsidR="78528F93" w:rsidRPr="1540DD9B">
        <w:rPr>
          <w:lang w:eastAsia="en-GB"/>
        </w:rPr>
        <w:t xml:space="preserve">from “conduct of proceedings” </w:t>
      </w:r>
      <w:r w:rsidR="5755DA80" w:rsidRPr="1540DD9B">
        <w:rPr>
          <w:lang w:eastAsia="en-GB"/>
        </w:rPr>
        <w:t>any activity</w:t>
      </w:r>
      <w:r w:rsidR="6072A681" w:rsidRPr="1540DD9B">
        <w:rPr>
          <w:lang w:eastAsia="en-GB"/>
        </w:rPr>
        <w:t xml:space="preserve"> “in relation to any particular court </w:t>
      </w:r>
      <w:r w:rsidR="3FC5191A" w:rsidRPr="1540DD9B">
        <w:rPr>
          <w:lang w:eastAsia="en-GB"/>
        </w:rPr>
        <w:t>or in relation to any proceedings</w:t>
      </w:r>
      <w:r w:rsidR="713D639F" w:rsidRPr="1540DD9B">
        <w:rPr>
          <w:lang w:eastAsia="en-GB"/>
        </w:rPr>
        <w:t xml:space="preserve">, if immediately before the appointed day no restriction was placed on the persons entitled to carry out that activity.” </w:t>
      </w:r>
      <w:r w:rsidR="690437A4" w:rsidRPr="1540DD9B">
        <w:rPr>
          <w:lang w:eastAsia="en-GB"/>
        </w:rPr>
        <w:t>York do</w:t>
      </w:r>
      <w:r w:rsidR="009C4956" w:rsidRPr="1540DD9B">
        <w:rPr>
          <w:lang w:eastAsia="en-GB"/>
        </w:rPr>
        <w:t>es</w:t>
      </w:r>
      <w:r w:rsidR="690437A4" w:rsidRPr="1540DD9B">
        <w:rPr>
          <w:lang w:eastAsia="en-GB"/>
        </w:rPr>
        <w:t xml:space="preserve"> not rely upon that</w:t>
      </w:r>
      <w:r w:rsidR="33F2177C" w:rsidRPr="1540DD9B">
        <w:rPr>
          <w:lang w:eastAsia="en-GB"/>
        </w:rPr>
        <w:t xml:space="preserve"> caveat</w:t>
      </w:r>
      <w:r w:rsidR="17AE7563" w:rsidRPr="1540DD9B">
        <w:rPr>
          <w:lang w:eastAsia="en-GB"/>
        </w:rPr>
        <w:t>. They do not</w:t>
      </w:r>
      <w:r w:rsidR="33F2177C" w:rsidRPr="1540DD9B">
        <w:rPr>
          <w:lang w:eastAsia="en-GB"/>
        </w:rPr>
        <w:t xml:space="preserve"> suggest that there were no restrictions on those who could conduct litigation in the Crown Court.</w:t>
      </w:r>
      <w:r w:rsidR="690437A4" w:rsidRPr="1540DD9B">
        <w:rPr>
          <w:lang w:eastAsia="en-GB"/>
        </w:rPr>
        <w:t xml:space="preserve"> </w:t>
      </w:r>
    </w:p>
    <w:p w14:paraId="1180F50B" w14:textId="58C4F239" w:rsidR="145E41BF" w:rsidRDefault="56F8653C" w:rsidP="00EA0C29">
      <w:pPr>
        <w:pStyle w:val="ParaLevel1"/>
        <w:ind w:left="567"/>
      </w:pPr>
      <w:r w:rsidRPr="1540DD9B">
        <w:rPr>
          <w:lang w:eastAsia="en-GB"/>
        </w:rPr>
        <w:t xml:space="preserve">Section 13(1) </w:t>
      </w:r>
      <w:r w:rsidR="5805BE4E" w:rsidRPr="1540DD9B">
        <w:rPr>
          <w:lang w:eastAsia="en-GB"/>
        </w:rPr>
        <w:t xml:space="preserve">of the LSA 2007 </w:t>
      </w:r>
      <w:r w:rsidRPr="1540DD9B">
        <w:rPr>
          <w:lang w:eastAsia="en-GB"/>
        </w:rPr>
        <w:t xml:space="preserve">provides </w:t>
      </w:r>
      <w:r w:rsidR="3CB16E39" w:rsidRPr="1540DD9B">
        <w:rPr>
          <w:lang w:eastAsia="en-GB"/>
        </w:rPr>
        <w:t>t</w:t>
      </w:r>
      <w:r w:rsidRPr="1540DD9B">
        <w:rPr>
          <w:lang w:eastAsia="en-GB"/>
        </w:rPr>
        <w:t>hat</w:t>
      </w:r>
      <w:r w:rsidR="4B618C01" w:rsidRPr="1540DD9B">
        <w:rPr>
          <w:lang w:eastAsia="en-GB"/>
        </w:rPr>
        <w:t xml:space="preserve"> “the question whether a person is entitled to carry on an activity which is a reserved legal activity is to be determined solely in accordance with the provisions of this Act.”</w:t>
      </w:r>
      <w:r w:rsidR="46443342" w:rsidRPr="1540DD9B">
        <w:rPr>
          <w:lang w:eastAsia="en-GB"/>
        </w:rPr>
        <w:t xml:space="preserve"> Section 13(2) provides</w:t>
      </w:r>
      <w:r w:rsidR="00313B18" w:rsidRPr="1540DD9B">
        <w:rPr>
          <w:lang w:eastAsia="en-GB"/>
        </w:rPr>
        <w:t xml:space="preserve"> that a person is entitled to carry on a reserved legal activity when he is authorised to do so or is an exempt person in relation to that activity.</w:t>
      </w:r>
      <w:r w:rsidR="1D26F81B" w:rsidRPr="1540DD9B">
        <w:rPr>
          <w:lang w:eastAsia="en-GB"/>
        </w:rPr>
        <w:t xml:space="preserve"> Schedule 4 identifies approved regulators and specifies the reserved legal activities they may authorise</w:t>
      </w:r>
      <w:r w:rsidR="2C24D3B8" w:rsidRPr="1540DD9B">
        <w:rPr>
          <w:lang w:eastAsia="en-GB"/>
        </w:rPr>
        <w:t xml:space="preserve">. </w:t>
      </w:r>
      <w:r w:rsidR="1D26F81B" w:rsidRPr="1540DD9B">
        <w:rPr>
          <w:lang w:eastAsia="en-GB"/>
        </w:rPr>
        <w:t>Those relevant to litigation in the Crown Court are the Law Society and the General Council of the Bar. An “authorised person” for the purposes of section 18 is someone authorised by the relevant regulator.</w:t>
      </w:r>
      <w:r w:rsidR="00313B18" w:rsidRPr="1540DD9B">
        <w:rPr>
          <w:lang w:eastAsia="en-GB"/>
        </w:rPr>
        <w:t xml:space="preserve"> </w:t>
      </w:r>
      <w:r w:rsidR="145E41BF">
        <w:t xml:space="preserve">Paragraph 2 of </w:t>
      </w:r>
      <w:r w:rsidR="00C1785B">
        <w:t>s</w:t>
      </w:r>
      <w:r w:rsidR="1132131A">
        <w:t>chedule 3 determines who is an “exempt person” for the purposes</w:t>
      </w:r>
      <w:r w:rsidR="4FD6F84B">
        <w:t xml:space="preserve"> of conducting litigation. </w:t>
      </w:r>
      <w:r w:rsidR="3A433FCE">
        <w:t>Sub-paragraph (</w:t>
      </w:r>
      <w:r w:rsidR="3A7131A4">
        <w:t>2</w:t>
      </w:r>
      <w:r w:rsidR="3A433FCE">
        <w:t>) recognises that a court may grant the right in relation to specific proceedings and sub-paragraph (</w:t>
      </w:r>
      <w:r w:rsidR="40D7C808">
        <w:t>3</w:t>
      </w:r>
      <w:r w:rsidR="3A433FCE">
        <w:t>)</w:t>
      </w:r>
      <w:r w:rsidR="4C9C908C">
        <w:t xml:space="preserve"> recognises rights conferred by other legislation</w:t>
      </w:r>
      <w:r w:rsidR="444308DA">
        <w:t>. Sub-paragraph 4 provides:</w:t>
      </w:r>
    </w:p>
    <w:p w14:paraId="14B77224" w14:textId="79E4F056" w:rsidR="444308DA" w:rsidRDefault="444308DA" w:rsidP="00EA0C29">
      <w:pPr>
        <w:pStyle w:val="Quote"/>
      </w:pPr>
      <w:r w:rsidRPr="6FDC3C26">
        <w:t>“(4) The person is exempt if the person—</w:t>
      </w:r>
    </w:p>
    <w:p w14:paraId="1CA6B03E" w14:textId="1B8169CB" w:rsidR="444308DA" w:rsidRDefault="00793D31" w:rsidP="00EA0C29">
      <w:pPr>
        <w:pStyle w:val="Quote"/>
      </w:pPr>
      <w:r>
        <w:t xml:space="preserve">(a) </w:t>
      </w:r>
      <w:r w:rsidR="444308DA" w:rsidRPr="6FDC3C26">
        <w:t xml:space="preserve">is a party to those proceedings, and </w:t>
      </w:r>
    </w:p>
    <w:p w14:paraId="063576EB" w14:textId="6130A758" w:rsidR="444308DA" w:rsidRDefault="00793D31" w:rsidP="00EA0C29">
      <w:pPr>
        <w:pStyle w:val="Quote"/>
      </w:pPr>
      <w:r>
        <w:t>(b)</w:t>
      </w:r>
      <w:r w:rsidR="00107CAA">
        <w:t xml:space="preserve"> </w:t>
      </w:r>
      <w:r w:rsidR="444308DA" w:rsidRPr="6FDC3C26">
        <w:t>would have a right to conduct the litigation, in the person's capacity as such a party, if this Act had not been passed.”</w:t>
      </w:r>
    </w:p>
    <w:p w14:paraId="356EE115" w14:textId="5FFF48FD" w:rsidR="06A1D689" w:rsidRDefault="12988457" w:rsidP="00EA0C29">
      <w:pPr>
        <w:pStyle w:val="ParaLevel1"/>
        <w:rPr>
          <w:lang w:eastAsia="en-GB"/>
        </w:rPr>
      </w:pPr>
      <w:r w:rsidRPr="1540DD9B">
        <w:rPr>
          <w:lang w:eastAsia="en-GB"/>
        </w:rPr>
        <w:t xml:space="preserve">It is this provision upon which </w:t>
      </w:r>
      <w:r w:rsidR="05ACAC07" w:rsidRPr="1540DD9B">
        <w:rPr>
          <w:lang w:eastAsia="en-GB"/>
        </w:rPr>
        <w:t>York relies for authority for Mr Rumford to conduct the litigation in the Crown Court.</w:t>
      </w:r>
      <w:r w:rsidR="3EF35F18" w:rsidRPr="1540DD9B">
        <w:rPr>
          <w:lang w:eastAsia="en-GB"/>
        </w:rPr>
        <w:t xml:space="preserve"> </w:t>
      </w:r>
    </w:p>
    <w:p w14:paraId="47ECF07E" w14:textId="79997F7A" w:rsidR="06A1D689" w:rsidRDefault="28D7FB0A" w:rsidP="00EA0C29">
      <w:pPr>
        <w:pStyle w:val="ParaLevel1"/>
        <w:rPr>
          <w:lang w:eastAsia="en-GB"/>
        </w:rPr>
      </w:pPr>
      <w:r w:rsidRPr="1540DD9B">
        <w:rPr>
          <w:lang w:eastAsia="en-GB"/>
        </w:rPr>
        <w:t>There is an express statutory provision which</w:t>
      </w:r>
      <w:r w:rsidR="75E83FBE" w:rsidRPr="1540DD9B">
        <w:rPr>
          <w:lang w:eastAsia="en-GB"/>
        </w:rPr>
        <w:t xml:space="preserve"> authorised Mr Rumford t</w:t>
      </w:r>
      <w:r w:rsidR="6B3DD9A8" w:rsidRPr="1540DD9B">
        <w:rPr>
          <w:lang w:eastAsia="en-GB"/>
        </w:rPr>
        <w:t xml:space="preserve">o </w:t>
      </w:r>
      <w:r w:rsidR="75E83FBE" w:rsidRPr="1540DD9B">
        <w:rPr>
          <w:lang w:eastAsia="en-GB"/>
        </w:rPr>
        <w:t>act for York in the Magistrates’ Court</w:t>
      </w:r>
      <w:r w:rsidR="14FDF596" w:rsidRPr="1540DD9B">
        <w:rPr>
          <w:lang w:eastAsia="en-GB"/>
        </w:rPr>
        <w:t xml:space="preserve"> and to conduct the litigation there</w:t>
      </w:r>
      <w:r w:rsidR="75E83FBE" w:rsidRPr="1540DD9B">
        <w:rPr>
          <w:lang w:eastAsia="en-GB"/>
        </w:rPr>
        <w:t>. Sec</w:t>
      </w:r>
      <w:r w:rsidR="06A1D689" w:rsidRPr="1540DD9B">
        <w:rPr>
          <w:lang w:eastAsia="en-GB"/>
        </w:rPr>
        <w:t>tion 223</w:t>
      </w:r>
      <w:r w:rsidR="66DD9E9E" w:rsidRPr="1540DD9B">
        <w:rPr>
          <w:lang w:eastAsia="en-GB"/>
        </w:rPr>
        <w:t>(1)</w:t>
      </w:r>
      <w:r w:rsidR="06A1D689" w:rsidRPr="1540DD9B">
        <w:rPr>
          <w:lang w:eastAsia="en-GB"/>
        </w:rPr>
        <w:t xml:space="preserve"> of the LGA 1972</w:t>
      </w:r>
      <w:r w:rsidR="3730E0F4" w:rsidRPr="1540DD9B">
        <w:rPr>
          <w:lang w:eastAsia="en-GB"/>
        </w:rPr>
        <w:t xml:space="preserve"> provides:</w:t>
      </w:r>
    </w:p>
    <w:p w14:paraId="58F25C5B" w14:textId="47CD87EE" w:rsidR="75D5C625" w:rsidRDefault="75D5C625" w:rsidP="00EA0C29">
      <w:pPr>
        <w:pStyle w:val="Quote"/>
        <w:rPr>
          <w:lang w:eastAsia="en-GB"/>
        </w:rPr>
      </w:pPr>
      <w:r w:rsidRPr="6FDC3C26">
        <w:rPr>
          <w:lang w:eastAsia="en-GB"/>
        </w:rPr>
        <w:t>“</w:t>
      </w:r>
      <w:r w:rsidR="0409E72D" w:rsidRPr="6FDC3C26">
        <w:rPr>
          <w:lang w:eastAsia="en-GB"/>
        </w:rPr>
        <w:t xml:space="preserve">Any member or officer of a local authority who is authorised by that authority to prosecute or defend on their behalf, </w:t>
      </w:r>
      <w:r w:rsidR="552838BE" w:rsidRPr="6FDC3C26">
        <w:rPr>
          <w:lang w:eastAsia="en-GB"/>
        </w:rPr>
        <w:t xml:space="preserve">or </w:t>
      </w:r>
      <w:r w:rsidR="0409E72D" w:rsidRPr="6FDC3C26">
        <w:rPr>
          <w:lang w:eastAsia="en-GB"/>
        </w:rPr>
        <w:t xml:space="preserve">to appear on their behalf </w:t>
      </w:r>
      <w:r w:rsidR="4B928A13" w:rsidRPr="6FDC3C26">
        <w:rPr>
          <w:lang w:eastAsia="en-GB"/>
        </w:rPr>
        <w:t>in,</w:t>
      </w:r>
      <w:r w:rsidR="0409E72D" w:rsidRPr="6FDC3C26">
        <w:rPr>
          <w:lang w:eastAsia="en-GB"/>
        </w:rPr>
        <w:t xml:space="preserve"> proceedings before a magistrates’ court</w:t>
      </w:r>
      <w:r w:rsidR="090FA91C" w:rsidRPr="6FDC3C26">
        <w:rPr>
          <w:lang w:eastAsia="en-GB"/>
        </w:rPr>
        <w:t xml:space="preserve"> </w:t>
      </w:r>
      <w:r w:rsidR="335967C5" w:rsidRPr="6FDC3C26">
        <w:rPr>
          <w:lang w:eastAsia="en-GB"/>
        </w:rPr>
        <w:t>sha</w:t>
      </w:r>
      <w:r w:rsidR="090FA91C" w:rsidRPr="6FDC3C26">
        <w:rPr>
          <w:lang w:eastAsia="en-GB"/>
        </w:rPr>
        <w:t>ll be entitled to prosecute or defend or to appear in any such proceedings, and, to conduct any such proceedings.”</w:t>
      </w:r>
    </w:p>
    <w:p w14:paraId="2F22F7A6" w14:textId="458B0A5A" w:rsidR="729B5E66" w:rsidRDefault="7C4ED622" w:rsidP="00EA0C29">
      <w:pPr>
        <w:pStyle w:val="ParaLevel1"/>
        <w:numPr>
          <w:ilvl w:val="0"/>
          <w:numId w:val="0"/>
        </w:numPr>
        <w:ind w:left="720"/>
        <w:rPr>
          <w:lang w:eastAsia="en-GB"/>
        </w:rPr>
      </w:pPr>
      <w:r w:rsidRPr="1540DD9B">
        <w:rPr>
          <w:lang w:eastAsia="en-GB"/>
        </w:rPr>
        <w:t>The words “to conduct any such proceedings”</w:t>
      </w:r>
      <w:r w:rsidR="7B71C287" w:rsidRPr="1540DD9B">
        <w:rPr>
          <w:lang w:eastAsia="en-GB"/>
        </w:rPr>
        <w:t xml:space="preserve"> were inserted by </w:t>
      </w:r>
      <w:r w:rsidR="00B62FD4" w:rsidRPr="1540DD9B">
        <w:rPr>
          <w:lang w:eastAsia="en-GB"/>
        </w:rPr>
        <w:t>p</w:t>
      </w:r>
      <w:r w:rsidR="7B71C287" w:rsidRPr="1540DD9B">
        <w:rPr>
          <w:lang w:eastAsia="en-GB"/>
        </w:rPr>
        <w:t xml:space="preserve">aragraph 28 of </w:t>
      </w:r>
      <w:r w:rsidR="00B62FD4" w:rsidRPr="1540DD9B">
        <w:rPr>
          <w:lang w:eastAsia="en-GB"/>
        </w:rPr>
        <w:t>s</w:t>
      </w:r>
      <w:r w:rsidR="7B71C287" w:rsidRPr="1540DD9B">
        <w:rPr>
          <w:lang w:eastAsia="en-GB"/>
        </w:rPr>
        <w:t>chedule 21 to the LSA 2007</w:t>
      </w:r>
      <w:r w:rsidR="591DC056" w:rsidRPr="1540DD9B">
        <w:rPr>
          <w:lang w:eastAsia="en-GB"/>
        </w:rPr>
        <w:t xml:space="preserve">. </w:t>
      </w:r>
    </w:p>
    <w:p w14:paraId="25E970A2" w14:textId="2DF3901B" w:rsidR="4126E359" w:rsidRDefault="04118CC5" w:rsidP="00EA0C29">
      <w:pPr>
        <w:pStyle w:val="ParaLevel1"/>
        <w:rPr>
          <w:lang w:eastAsia="en-GB"/>
        </w:rPr>
      </w:pPr>
      <w:r w:rsidRPr="1540DD9B">
        <w:rPr>
          <w:lang w:eastAsia="en-GB"/>
        </w:rPr>
        <w:lastRenderedPageBreak/>
        <w:t>Mr Rumford initiated the proceedings</w:t>
      </w:r>
      <w:r w:rsidR="5DEACDB5" w:rsidRPr="1540DD9B">
        <w:rPr>
          <w:lang w:eastAsia="en-GB"/>
        </w:rPr>
        <w:t xml:space="preserve"> on behalf of York</w:t>
      </w:r>
      <w:r w:rsidRPr="1540DD9B">
        <w:rPr>
          <w:lang w:eastAsia="en-GB"/>
        </w:rPr>
        <w:t xml:space="preserve"> in the Magistrates’ Court by laying an information which resulted in summonses being issued</w:t>
      </w:r>
      <w:r w:rsidR="6D106F6B" w:rsidRPr="1540DD9B">
        <w:rPr>
          <w:lang w:eastAsia="en-GB"/>
        </w:rPr>
        <w:t xml:space="preserve">. </w:t>
      </w:r>
      <w:r w:rsidRPr="1540DD9B">
        <w:rPr>
          <w:lang w:eastAsia="en-GB"/>
        </w:rPr>
        <w:t>He conducted the proceedings in the Magistrates’ Court which were</w:t>
      </w:r>
      <w:r w:rsidR="76756174" w:rsidRPr="1540DD9B">
        <w:rPr>
          <w:lang w:eastAsia="en-GB"/>
        </w:rPr>
        <w:t xml:space="preserve"> </w:t>
      </w:r>
      <w:r w:rsidRPr="1540DD9B">
        <w:rPr>
          <w:lang w:eastAsia="en-GB"/>
        </w:rPr>
        <w:t xml:space="preserve">sent </w:t>
      </w:r>
      <w:r w:rsidR="06204055" w:rsidRPr="1540DD9B">
        <w:rPr>
          <w:lang w:eastAsia="en-GB"/>
        </w:rPr>
        <w:t>on 9 October 2020</w:t>
      </w:r>
      <w:r w:rsidRPr="1540DD9B">
        <w:rPr>
          <w:lang w:eastAsia="en-GB"/>
        </w:rPr>
        <w:t xml:space="preserve"> for trial in the Crown Court. </w:t>
      </w:r>
      <w:r w:rsidR="4126E359" w:rsidRPr="1540DD9B">
        <w:rPr>
          <w:lang w:eastAsia="en-GB"/>
        </w:rPr>
        <w:t>No complaint can be made about the initiation of these criminal proceedings nor the way in which they were conducted by Mr Rumford on behalf of the prosecu</w:t>
      </w:r>
      <w:r w:rsidR="68045591" w:rsidRPr="1540DD9B">
        <w:rPr>
          <w:lang w:eastAsia="en-GB"/>
        </w:rPr>
        <w:t>tor, York,</w:t>
      </w:r>
      <w:r w:rsidR="4126E359" w:rsidRPr="1540DD9B">
        <w:rPr>
          <w:lang w:eastAsia="en-GB"/>
        </w:rPr>
        <w:t xml:space="preserve"> in the Magistrates’ Court. </w:t>
      </w:r>
      <w:r w:rsidR="333931C8" w:rsidRPr="1540DD9B">
        <w:rPr>
          <w:lang w:eastAsia="en-GB"/>
        </w:rPr>
        <w:t>Nor can any complaint be made about the sending of the case to the Crown Court for trial. The proceedings reached the Crown Court in an entirely regular way</w:t>
      </w:r>
      <w:r w:rsidR="006E6E43" w:rsidRPr="1540DD9B">
        <w:rPr>
          <w:lang w:eastAsia="en-GB"/>
        </w:rPr>
        <w:t xml:space="preserve"> untainted by any irregularity.</w:t>
      </w:r>
    </w:p>
    <w:p w14:paraId="3343AB14" w14:textId="77777777" w:rsidR="00CB0151" w:rsidRDefault="706A2F20" w:rsidP="00EA0C29">
      <w:pPr>
        <w:pStyle w:val="ParaLevel1"/>
        <w:numPr>
          <w:ilvl w:val="0"/>
          <w:numId w:val="0"/>
        </w:numPr>
        <w:rPr>
          <w:lang w:eastAsia="en-GB"/>
        </w:rPr>
      </w:pPr>
      <w:r w:rsidRPr="16935AB7">
        <w:rPr>
          <w:i/>
          <w:iCs/>
          <w:lang w:eastAsia="en-GB"/>
        </w:rPr>
        <w:t>Analysis and Discussion</w:t>
      </w:r>
      <w:r w:rsidR="237C2876" w:rsidRPr="16935AB7">
        <w:rPr>
          <w:lang w:eastAsia="en-GB"/>
        </w:rPr>
        <w:t xml:space="preserve"> </w:t>
      </w:r>
    </w:p>
    <w:p w14:paraId="6206A3E6" w14:textId="54D9CCB4" w:rsidR="4126E359" w:rsidRDefault="00CB0151" w:rsidP="00EA0C29">
      <w:pPr>
        <w:pStyle w:val="ParaLevel1"/>
        <w:numPr>
          <w:ilvl w:val="0"/>
          <w:numId w:val="0"/>
        </w:numPr>
        <w:rPr>
          <w:lang w:eastAsia="en-GB"/>
        </w:rPr>
      </w:pPr>
      <w:r>
        <w:rPr>
          <w:i/>
          <w:iCs/>
          <w:lang w:eastAsia="en-GB"/>
        </w:rPr>
        <w:t>Conduct of Litigation</w:t>
      </w:r>
      <w:r w:rsidR="0743DDA1" w:rsidRPr="16935AB7">
        <w:rPr>
          <w:lang w:eastAsia="en-GB"/>
        </w:rPr>
        <w:t xml:space="preserve"> </w:t>
      </w:r>
      <w:r w:rsidR="333931C8" w:rsidRPr="16935AB7">
        <w:rPr>
          <w:lang w:eastAsia="en-GB"/>
        </w:rPr>
        <w:t xml:space="preserve">  </w:t>
      </w:r>
    </w:p>
    <w:p w14:paraId="07BF062F" w14:textId="6D083201" w:rsidR="60F94A75" w:rsidRDefault="4FBCA1B9" w:rsidP="00EA0C29">
      <w:pPr>
        <w:pStyle w:val="ParaLevel1"/>
        <w:rPr>
          <w:lang w:eastAsia="en-GB"/>
        </w:rPr>
      </w:pPr>
      <w:r w:rsidRPr="1540DD9B">
        <w:rPr>
          <w:lang w:eastAsia="en-GB"/>
        </w:rPr>
        <w:t>The first question is whether Mr Rumford was conducting the</w:t>
      </w:r>
      <w:r w:rsidR="00081F36" w:rsidRPr="1540DD9B">
        <w:rPr>
          <w:lang w:eastAsia="en-GB"/>
        </w:rPr>
        <w:t xml:space="preserve"> litigation</w:t>
      </w:r>
      <w:r w:rsidRPr="1540DD9B">
        <w:rPr>
          <w:lang w:eastAsia="en-GB"/>
        </w:rPr>
        <w:t xml:space="preserve"> in the Crown Court on behalf of York. </w:t>
      </w:r>
      <w:r w:rsidR="7FDF586B" w:rsidRPr="1540DD9B">
        <w:rPr>
          <w:lang w:eastAsia="en-GB"/>
        </w:rPr>
        <w:t>Both in argument below and before us there was a tendency to describe Mr Rumford as “the prosecutor” but that i</w:t>
      </w:r>
      <w:r w:rsidR="0064797B" w:rsidRPr="1540DD9B">
        <w:rPr>
          <w:lang w:eastAsia="en-GB"/>
        </w:rPr>
        <w:t>s</w:t>
      </w:r>
      <w:r w:rsidR="7FDF586B" w:rsidRPr="1540DD9B">
        <w:rPr>
          <w:lang w:eastAsia="en-GB"/>
        </w:rPr>
        <w:t xml:space="preserve"> not </w:t>
      </w:r>
      <w:r w:rsidR="0064797B" w:rsidRPr="1540DD9B">
        <w:rPr>
          <w:lang w:eastAsia="en-GB"/>
        </w:rPr>
        <w:t xml:space="preserve">strictly </w:t>
      </w:r>
      <w:r w:rsidR="7FDF586B" w:rsidRPr="1540DD9B">
        <w:rPr>
          <w:lang w:eastAsia="en-GB"/>
        </w:rPr>
        <w:t>correct</w:t>
      </w:r>
      <w:r w:rsidR="571BA8A3" w:rsidRPr="1540DD9B">
        <w:rPr>
          <w:lang w:eastAsia="en-GB"/>
        </w:rPr>
        <w:t xml:space="preserve">. </w:t>
      </w:r>
      <w:r w:rsidR="7FDF586B" w:rsidRPr="1540DD9B">
        <w:rPr>
          <w:lang w:eastAsia="en-GB"/>
        </w:rPr>
        <w:t>Y</w:t>
      </w:r>
      <w:r w:rsidR="79FCF429" w:rsidRPr="1540DD9B">
        <w:rPr>
          <w:lang w:eastAsia="en-GB"/>
        </w:rPr>
        <w:t>ork w</w:t>
      </w:r>
      <w:r w:rsidR="009C4956" w:rsidRPr="1540DD9B">
        <w:rPr>
          <w:lang w:eastAsia="en-GB"/>
        </w:rPr>
        <w:t>as</w:t>
      </w:r>
      <w:r w:rsidR="79FCF429" w:rsidRPr="1540DD9B">
        <w:rPr>
          <w:lang w:eastAsia="en-GB"/>
        </w:rPr>
        <w:t xml:space="preserve"> the prosecutor</w:t>
      </w:r>
      <w:r w:rsidR="00081F36" w:rsidRPr="1540DD9B">
        <w:rPr>
          <w:lang w:eastAsia="en-GB"/>
        </w:rPr>
        <w:t>, authorised by statute</w:t>
      </w:r>
      <w:r w:rsidR="002A1519" w:rsidRPr="1540DD9B">
        <w:rPr>
          <w:lang w:eastAsia="en-GB"/>
        </w:rPr>
        <w:t xml:space="preserve">. There are many statutory prosecutors, </w:t>
      </w:r>
      <w:r w:rsidR="006379DB" w:rsidRPr="1540DD9B">
        <w:rPr>
          <w:lang w:eastAsia="en-GB"/>
        </w:rPr>
        <w:t>not least the Director of Public Prosecutions.</w:t>
      </w:r>
      <w:r w:rsidR="79FCF429" w:rsidRPr="1540DD9B">
        <w:rPr>
          <w:lang w:eastAsia="en-GB"/>
        </w:rPr>
        <w:t xml:space="preserve"> </w:t>
      </w:r>
      <w:r w:rsidR="70E02828" w:rsidRPr="1540DD9B">
        <w:rPr>
          <w:lang w:eastAsia="en-GB"/>
        </w:rPr>
        <w:t>A private prosecution may be brought by an individual or a corporation</w:t>
      </w:r>
      <w:r w:rsidR="56617FD3" w:rsidRPr="1540DD9B">
        <w:rPr>
          <w:lang w:eastAsia="en-GB"/>
        </w:rPr>
        <w:t xml:space="preserve">. </w:t>
      </w:r>
      <w:r w:rsidR="70E02828" w:rsidRPr="1540DD9B">
        <w:rPr>
          <w:lang w:eastAsia="en-GB"/>
        </w:rPr>
        <w:t xml:space="preserve">In such cases the individual or corporation is </w:t>
      </w:r>
      <w:r w:rsidR="47803F3C" w:rsidRPr="1540DD9B">
        <w:rPr>
          <w:lang w:eastAsia="en-GB"/>
        </w:rPr>
        <w:t>the</w:t>
      </w:r>
      <w:r w:rsidR="70E02828" w:rsidRPr="1540DD9B">
        <w:rPr>
          <w:lang w:eastAsia="en-GB"/>
        </w:rPr>
        <w:t xml:space="preserve"> prosecutor</w:t>
      </w:r>
      <w:r w:rsidR="005D59FA" w:rsidRPr="1540DD9B">
        <w:rPr>
          <w:lang w:eastAsia="en-GB"/>
        </w:rPr>
        <w:t xml:space="preserve"> even if acting through</w:t>
      </w:r>
      <w:r w:rsidR="7FBE8E09" w:rsidRPr="1540DD9B">
        <w:rPr>
          <w:lang w:eastAsia="en-GB"/>
        </w:rPr>
        <w:t xml:space="preserve"> approved professional</w:t>
      </w:r>
      <w:r w:rsidR="006D01B1" w:rsidRPr="1540DD9B">
        <w:rPr>
          <w:lang w:eastAsia="en-GB"/>
        </w:rPr>
        <w:t>s</w:t>
      </w:r>
      <w:r w:rsidR="008F6206" w:rsidRPr="1540DD9B">
        <w:rPr>
          <w:lang w:eastAsia="en-GB"/>
        </w:rPr>
        <w:t xml:space="preserve"> or, when allowed by statute or rules, when the body corporate </w:t>
      </w:r>
      <w:r w:rsidR="006D01B1" w:rsidRPr="1540DD9B">
        <w:rPr>
          <w:lang w:eastAsia="en-GB"/>
        </w:rPr>
        <w:t>acts or appears through a director or employee.</w:t>
      </w:r>
    </w:p>
    <w:p w14:paraId="52DF62EA" w14:textId="6BA6DEA0" w:rsidR="00B53886" w:rsidRDefault="7FBE8E09" w:rsidP="00EA0C29">
      <w:pPr>
        <w:pStyle w:val="ParaLevel1"/>
        <w:rPr>
          <w:lang w:eastAsia="en-GB"/>
        </w:rPr>
      </w:pPr>
      <w:r w:rsidRPr="1540DD9B">
        <w:rPr>
          <w:lang w:eastAsia="en-GB"/>
        </w:rPr>
        <w:t>T</w:t>
      </w:r>
      <w:r w:rsidR="60F94A75" w:rsidRPr="1540DD9B">
        <w:rPr>
          <w:lang w:eastAsia="en-GB"/>
        </w:rPr>
        <w:t xml:space="preserve">he arguments before the judge centred around the circumstances in which the draft </w:t>
      </w:r>
      <w:bookmarkStart w:id="51" w:name="_Int_FYTSXdYm"/>
      <w:r w:rsidR="60F94A75" w:rsidRPr="1540DD9B">
        <w:rPr>
          <w:lang w:eastAsia="en-GB"/>
        </w:rPr>
        <w:t>indictment</w:t>
      </w:r>
      <w:bookmarkEnd w:id="51"/>
      <w:r w:rsidR="009B49CD" w:rsidRPr="1540DD9B">
        <w:rPr>
          <w:lang w:eastAsia="en-GB"/>
        </w:rPr>
        <w:t>, drafted by counsel, was circulated</w:t>
      </w:r>
      <w:r w:rsidR="60F94A75" w:rsidRPr="1540DD9B">
        <w:rPr>
          <w:lang w:eastAsia="en-GB"/>
        </w:rPr>
        <w:t xml:space="preserve"> </w:t>
      </w:r>
      <w:r w:rsidR="2D863041" w:rsidRPr="1540DD9B">
        <w:rPr>
          <w:lang w:eastAsia="en-GB"/>
        </w:rPr>
        <w:t xml:space="preserve">by Mr Rumford </w:t>
      </w:r>
      <w:r w:rsidR="6C8FCA6C" w:rsidRPr="1540DD9B">
        <w:rPr>
          <w:lang w:eastAsia="en-GB"/>
        </w:rPr>
        <w:t xml:space="preserve">in </w:t>
      </w:r>
      <w:r w:rsidR="009C4956" w:rsidRPr="1540DD9B">
        <w:rPr>
          <w:lang w:eastAsia="en-GB"/>
        </w:rPr>
        <w:t>October</w:t>
      </w:r>
      <w:r w:rsidR="6C8FCA6C" w:rsidRPr="1540DD9B">
        <w:rPr>
          <w:lang w:eastAsia="en-GB"/>
        </w:rPr>
        <w:t xml:space="preserve"> </w:t>
      </w:r>
      <w:bookmarkStart w:id="52" w:name="_Int_jjcyXNIm"/>
      <w:r w:rsidR="6C8FCA6C" w:rsidRPr="1540DD9B">
        <w:rPr>
          <w:lang w:eastAsia="en-GB"/>
        </w:rPr>
        <w:t>202</w:t>
      </w:r>
      <w:r w:rsidR="009C4956" w:rsidRPr="1540DD9B">
        <w:rPr>
          <w:lang w:eastAsia="en-GB"/>
        </w:rPr>
        <w:t>0</w:t>
      </w:r>
      <w:bookmarkEnd w:id="52"/>
      <w:r w:rsidR="000B2500" w:rsidRPr="1540DD9B">
        <w:rPr>
          <w:lang w:eastAsia="en-GB"/>
        </w:rPr>
        <w:t xml:space="preserve"> and served by him on the Crown Court officer by </w:t>
      </w:r>
      <w:r w:rsidR="00C25B85" w:rsidRPr="1540DD9B">
        <w:rPr>
          <w:lang w:eastAsia="en-GB"/>
        </w:rPr>
        <w:t>email</w:t>
      </w:r>
      <w:r w:rsidR="000B2500" w:rsidRPr="1540DD9B">
        <w:rPr>
          <w:lang w:eastAsia="en-GB"/>
        </w:rPr>
        <w:t xml:space="preserve"> on</w:t>
      </w:r>
      <w:r w:rsidR="006D01B1" w:rsidRPr="1540DD9B">
        <w:rPr>
          <w:lang w:eastAsia="en-GB"/>
        </w:rPr>
        <w:t xml:space="preserve"> 1</w:t>
      </w:r>
      <w:r w:rsidR="00C25B85" w:rsidRPr="1540DD9B">
        <w:rPr>
          <w:lang w:eastAsia="en-GB"/>
        </w:rPr>
        <w:t>2 November 2020</w:t>
      </w:r>
      <w:r w:rsidR="00FE1BCA" w:rsidRPr="1540DD9B">
        <w:rPr>
          <w:lang w:eastAsia="en-GB"/>
        </w:rPr>
        <w:t xml:space="preserve"> in accordance with rule 10(4)(2) of the Criminal Procedure Rules (“CrimPR”</w:t>
      </w:r>
      <w:r w:rsidR="1753B53C" w:rsidRPr="1540DD9B">
        <w:rPr>
          <w:lang w:eastAsia="en-GB"/>
        </w:rPr>
        <w:t>).</w:t>
      </w:r>
      <w:r w:rsidR="00C25B85" w:rsidRPr="1540DD9B">
        <w:rPr>
          <w:lang w:eastAsia="en-GB"/>
        </w:rPr>
        <w:t xml:space="preserve"> It was </w:t>
      </w:r>
      <w:r w:rsidR="60F94A75" w:rsidRPr="1540DD9B">
        <w:rPr>
          <w:lang w:eastAsia="en-GB"/>
        </w:rPr>
        <w:t>later redrafted and preferred by counsel in a hearing on 4 January 2022.</w:t>
      </w:r>
      <w:r w:rsidR="00C25B85" w:rsidRPr="1540DD9B">
        <w:rPr>
          <w:lang w:eastAsia="en-GB"/>
        </w:rPr>
        <w:t xml:space="preserve"> The defendants were </w:t>
      </w:r>
      <w:bookmarkStart w:id="53" w:name="_Int_PG1RIzJf"/>
      <w:r w:rsidR="004C5E4D" w:rsidRPr="1540DD9B">
        <w:rPr>
          <w:lang w:eastAsia="en-GB"/>
        </w:rPr>
        <w:t>arraigned</w:t>
      </w:r>
      <w:bookmarkEnd w:id="53"/>
      <w:r w:rsidR="00C25B85" w:rsidRPr="1540DD9B">
        <w:rPr>
          <w:lang w:eastAsia="en-GB"/>
        </w:rPr>
        <w:t xml:space="preserve"> on that amended </w:t>
      </w:r>
      <w:bookmarkStart w:id="54" w:name="_Int_S0OKzjWX"/>
      <w:r w:rsidR="00C25B85" w:rsidRPr="1540DD9B">
        <w:rPr>
          <w:lang w:eastAsia="en-GB"/>
        </w:rPr>
        <w:t>indictment</w:t>
      </w:r>
      <w:bookmarkEnd w:id="54"/>
      <w:r w:rsidR="00C25B85" w:rsidRPr="1540DD9B">
        <w:rPr>
          <w:lang w:eastAsia="en-GB"/>
        </w:rPr>
        <w:t xml:space="preserve"> on 22 January 2022 at the begin</w:t>
      </w:r>
      <w:r w:rsidR="004C5E4D" w:rsidRPr="1540DD9B">
        <w:rPr>
          <w:lang w:eastAsia="en-GB"/>
        </w:rPr>
        <w:t>ning of the preparatory hearing.</w:t>
      </w:r>
      <w:r w:rsidR="467F0B56" w:rsidRPr="1540DD9B">
        <w:rPr>
          <w:lang w:eastAsia="en-GB"/>
        </w:rPr>
        <w:t xml:space="preserve"> </w:t>
      </w:r>
      <w:r w:rsidR="006D01B1" w:rsidRPr="1540DD9B">
        <w:rPr>
          <w:lang w:eastAsia="en-GB"/>
        </w:rPr>
        <w:t>More generally, o</w:t>
      </w:r>
      <w:r w:rsidR="467F0B56" w:rsidRPr="1540DD9B">
        <w:rPr>
          <w:lang w:eastAsia="en-GB"/>
        </w:rPr>
        <w:t>nce the case was in the Crown Court Mr Rumford instructed leading and junior counsel on behalf of York</w:t>
      </w:r>
      <w:r w:rsidR="3BA38F6F" w:rsidRPr="1540DD9B">
        <w:rPr>
          <w:lang w:eastAsia="en-GB"/>
        </w:rPr>
        <w:t xml:space="preserve">. </w:t>
      </w:r>
      <w:r w:rsidR="38810EF9" w:rsidRPr="1540DD9B">
        <w:rPr>
          <w:lang w:eastAsia="en-GB"/>
        </w:rPr>
        <w:t>Junior Counsel completed the Plea and Trial Preparation Hearing</w:t>
      </w:r>
      <w:r w:rsidR="00F334B3" w:rsidRPr="1540DD9B">
        <w:rPr>
          <w:lang w:eastAsia="en-GB"/>
        </w:rPr>
        <w:t xml:space="preserve"> (“PTPH”)</w:t>
      </w:r>
      <w:r w:rsidR="38810EF9" w:rsidRPr="1540DD9B">
        <w:rPr>
          <w:lang w:eastAsia="en-GB"/>
        </w:rPr>
        <w:t xml:space="preserve"> form and </w:t>
      </w:r>
      <w:r w:rsidR="19219D80" w:rsidRPr="1540DD9B">
        <w:rPr>
          <w:lang w:eastAsia="en-GB"/>
        </w:rPr>
        <w:t>M</w:t>
      </w:r>
      <w:r w:rsidR="38810EF9" w:rsidRPr="1540DD9B">
        <w:rPr>
          <w:lang w:eastAsia="en-GB"/>
        </w:rPr>
        <w:t xml:space="preserve">r Rumford corresponded with </w:t>
      </w:r>
      <w:r w:rsidR="17D38192" w:rsidRPr="1540DD9B">
        <w:rPr>
          <w:lang w:eastAsia="en-GB"/>
        </w:rPr>
        <w:t>solicitors acting for the defendants.</w:t>
      </w:r>
      <w:r w:rsidR="04A8431B" w:rsidRPr="1540DD9B">
        <w:rPr>
          <w:lang w:eastAsia="en-GB"/>
        </w:rPr>
        <w:t xml:space="preserve"> By reference to th</w:t>
      </w:r>
      <w:r w:rsidR="04CF45F0" w:rsidRPr="1540DD9B">
        <w:rPr>
          <w:lang w:eastAsia="en-GB"/>
        </w:rPr>
        <w:t xml:space="preserve">e definition in </w:t>
      </w:r>
      <w:r w:rsidR="00C1785B" w:rsidRPr="1540DD9B">
        <w:rPr>
          <w:lang w:eastAsia="en-GB"/>
        </w:rPr>
        <w:t>p</w:t>
      </w:r>
      <w:r w:rsidR="04CF45F0" w:rsidRPr="1540DD9B">
        <w:rPr>
          <w:lang w:eastAsia="en-GB"/>
        </w:rPr>
        <w:t xml:space="preserve">aragraph 4 of </w:t>
      </w:r>
      <w:r w:rsidR="00C1785B" w:rsidRPr="1540DD9B">
        <w:rPr>
          <w:lang w:eastAsia="en-GB"/>
        </w:rPr>
        <w:t>s</w:t>
      </w:r>
      <w:r w:rsidR="04CF45F0" w:rsidRPr="1540DD9B">
        <w:rPr>
          <w:lang w:eastAsia="en-GB"/>
        </w:rPr>
        <w:t xml:space="preserve">chedule </w:t>
      </w:r>
      <w:r w:rsidR="0029000F" w:rsidRPr="1540DD9B">
        <w:rPr>
          <w:lang w:eastAsia="en-GB"/>
        </w:rPr>
        <w:t>3</w:t>
      </w:r>
      <w:r w:rsidR="04CF45F0" w:rsidRPr="1540DD9B">
        <w:rPr>
          <w:lang w:eastAsia="en-GB"/>
        </w:rPr>
        <w:t xml:space="preserve"> to the LSA 2007 </w:t>
      </w:r>
      <w:bookmarkStart w:id="55" w:name="_Int_0CVHlcc4"/>
      <w:r w:rsidR="04CF45F0" w:rsidRPr="1540DD9B">
        <w:rPr>
          <w:lang w:eastAsia="en-GB"/>
        </w:rPr>
        <w:t xml:space="preserve">it </w:t>
      </w:r>
      <w:r w:rsidR="008B2BC3" w:rsidRPr="1540DD9B">
        <w:rPr>
          <w:lang w:eastAsia="en-GB"/>
        </w:rPr>
        <w:t>i</w:t>
      </w:r>
      <w:r w:rsidR="04CF45F0" w:rsidRPr="1540DD9B">
        <w:rPr>
          <w:lang w:eastAsia="en-GB"/>
        </w:rPr>
        <w:t>s clear that Mr Rumford</w:t>
      </w:r>
      <w:bookmarkEnd w:id="55"/>
      <w:r w:rsidR="04CF45F0" w:rsidRPr="1540DD9B">
        <w:rPr>
          <w:lang w:eastAsia="en-GB"/>
        </w:rPr>
        <w:t xml:space="preserve"> was prosecuting the proceedings in the Crown C</w:t>
      </w:r>
      <w:r w:rsidR="6421B888" w:rsidRPr="1540DD9B">
        <w:rPr>
          <w:lang w:eastAsia="en-GB"/>
        </w:rPr>
        <w:t>o</w:t>
      </w:r>
      <w:r w:rsidR="04CF45F0" w:rsidRPr="1540DD9B">
        <w:rPr>
          <w:lang w:eastAsia="en-GB"/>
        </w:rPr>
        <w:t>urt on behalf of Y</w:t>
      </w:r>
      <w:r w:rsidR="1D29E82B" w:rsidRPr="1540DD9B">
        <w:rPr>
          <w:lang w:eastAsia="en-GB"/>
        </w:rPr>
        <w:t>ork</w:t>
      </w:r>
      <w:r w:rsidR="5B0058BC" w:rsidRPr="1540DD9B">
        <w:rPr>
          <w:lang w:eastAsia="en-GB"/>
        </w:rPr>
        <w:t xml:space="preserve"> within</w:t>
      </w:r>
      <w:r w:rsidR="00D71C59" w:rsidRPr="1540DD9B">
        <w:rPr>
          <w:lang w:eastAsia="en-GB"/>
        </w:rPr>
        <w:t xml:space="preserve"> paragraph</w:t>
      </w:r>
      <w:r w:rsidR="5B0058BC" w:rsidRPr="1540DD9B">
        <w:rPr>
          <w:lang w:eastAsia="en-GB"/>
        </w:rPr>
        <w:t xml:space="preserve"> 4(1)(b)</w:t>
      </w:r>
      <w:r w:rsidR="0E2FE07F" w:rsidRPr="1540DD9B">
        <w:rPr>
          <w:lang w:eastAsia="en-GB"/>
        </w:rPr>
        <w:t xml:space="preserve">. </w:t>
      </w:r>
      <w:r w:rsidR="372B307B" w:rsidRPr="1540DD9B">
        <w:rPr>
          <w:lang w:eastAsia="en-GB"/>
        </w:rPr>
        <w:t>There could be much debate about whether any particular action</w:t>
      </w:r>
      <w:r w:rsidR="38810EF9" w:rsidRPr="1540DD9B">
        <w:rPr>
          <w:lang w:eastAsia="en-GB"/>
        </w:rPr>
        <w:t xml:space="preserve"> </w:t>
      </w:r>
      <w:r w:rsidR="0A173172" w:rsidRPr="1540DD9B">
        <w:rPr>
          <w:lang w:eastAsia="en-GB"/>
        </w:rPr>
        <w:t xml:space="preserve">or step taken by Mr Rumford was an “ancillary function” </w:t>
      </w:r>
      <w:r w:rsidR="6DAFE9C6" w:rsidRPr="1540DD9B">
        <w:rPr>
          <w:lang w:eastAsia="en-GB"/>
        </w:rPr>
        <w:t>within</w:t>
      </w:r>
      <w:r w:rsidR="00C1785B" w:rsidRPr="1540DD9B">
        <w:rPr>
          <w:lang w:eastAsia="en-GB"/>
        </w:rPr>
        <w:t xml:space="preserve"> paragraph</w:t>
      </w:r>
      <w:r w:rsidR="6DAFE9C6" w:rsidRPr="1540DD9B">
        <w:rPr>
          <w:lang w:eastAsia="en-GB"/>
        </w:rPr>
        <w:t xml:space="preserve"> 4(1)(c) </w:t>
      </w:r>
      <w:r w:rsidR="0A173172" w:rsidRPr="1540DD9B">
        <w:rPr>
          <w:lang w:eastAsia="en-GB"/>
        </w:rPr>
        <w:t xml:space="preserve">in relation to the </w:t>
      </w:r>
      <w:r w:rsidR="0DC0F033" w:rsidRPr="1540DD9B">
        <w:rPr>
          <w:lang w:eastAsia="en-GB"/>
        </w:rPr>
        <w:t>proceedings,</w:t>
      </w:r>
      <w:r w:rsidR="22C209EF" w:rsidRPr="1540DD9B">
        <w:rPr>
          <w:lang w:eastAsia="en-GB"/>
        </w:rPr>
        <w:t xml:space="preserve"> but it is not necessary to consider </w:t>
      </w:r>
      <w:r w:rsidR="78F7B086" w:rsidRPr="1540DD9B">
        <w:rPr>
          <w:lang w:eastAsia="en-GB"/>
        </w:rPr>
        <w:t>individually</w:t>
      </w:r>
      <w:r w:rsidR="22C209EF" w:rsidRPr="1540DD9B">
        <w:rPr>
          <w:lang w:eastAsia="en-GB"/>
        </w:rPr>
        <w:t xml:space="preserve"> </w:t>
      </w:r>
      <w:r w:rsidR="002C0EE1" w:rsidRPr="1540DD9B">
        <w:rPr>
          <w:lang w:eastAsia="en-GB"/>
        </w:rPr>
        <w:t xml:space="preserve">all </w:t>
      </w:r>
      <w:r w:rsidR="22C209EF" w:rsidRPr="1540DD9B">
        <w:rPr>
          <w:lang w:eastAsia="en-GB"/>
        </w:rPr>
        <w:t xml:space="preserve">the actions for which </w:t>
      </w:r>
      <w:r w:rsidR="74AC1FC4" w:rsidRPr="1540DD9B">
        <w:rPr>
          <w:lang w:eastAsia="en-GB"/>
        </w:rPr>
        <w:t>M</w:t>
      </w:r>
      <w:r w:rsidR="22C209EF" w:rsidRPr="1540DD9B">
        <w:rPr>
          <w:lang w:eastAsia="en-GB"/>
        </w:rPr>
        <w:t>r Rumford was responsible by reference to</w:t>
      </w:r>
      <w:r w:rsidR="0D8608A3" w:rsidRPr="1540DD9B">
        <w:rPr>
          <w:lang w:eastAsia="en-GB"/>
        </w:rPr>
        <w:t xml:space="preserve"> that sub-paragraph.</w:t>
      </w:r>
      <w:r w:rsidR="002C0EE1" w:rsidRPr="1540DD9B">
        <w:rPr>
          <w:lang w:eastAsia="en-GB"/>
        </w:rPr>
        <w:t xml:space="preserve"> The term “ancillary function” is not defined in the </w:t>
      </w:r>
      <w:r w:rsidR="00E933C8" w:rsidRPr="1540DD9B">
        <w:rPr>
          <w:lang w:eastAsia="en-GB"/>
        </w:rPr>
        <w:t>Act</w:t>
      </w:r>
      <w:r w:rsidR="0EF7CA82" w:rsidRPr="1540DD9B">
        <w:rPr>
          <w:lang w:eastAsia="en-GB"/>
        </w:rPr>
        <w:t xml:space="preserve">. </w:t>
      </w:r>
      <w:r w:rsidR="00E933C8" w:rsidRPr="1540DD9B">
        <w:rPr>
          <w:lang w:eastAsia="en-GB"/>
        </w:rPr>
        <w:t xml:space="preserve">No </w:t>
      </w:r>
      <w:r w:rsidR="00572980" w:rsidRPr="1540DD9B">
        <w:rPr>
          <w:lang w:eastAsia="en-GB"/>
        </w:rPr>
        <w:t>decided case</w:t>
      </w:r>
      <w:r w:rsidR="00E933C8" w:rsidRPr="1540DD9B">
        <w:rPr>
          <w:lang w:eastAsia="en-GB"/>
        </w:rPr>
        <w:t xml:space="preserve"> attempts a comprehensive definition</w:t>
      </w:r>
      <w:r w:rsidR="00E5082B" w:rsidRPr="1540DD9B">
        <w:rPr>
          <w:lang w:eastAsia="en-GB"/>
        </w:rPr>
        <w:t xml:space="preserve"> but, given the potential penal consequences of conducting litigation when not authorised</w:t>
      </w:r>
      <w:r w:rsidR="0D8608A3" w:rsidRPr="1540DD9B">
        <w:rPr>
          <w:lang w:eastAsia="en-GB"/>
        </w:rPr>
        <w:t xml:space="preserve"> </w:t>
      </w:r>
      <w:r w:rsidR="00684D97" w:rsidRPr="1540DD9B">
        <w:rPr>
          <w:lang w:eastAsia="en-GB"/>
        </w:rPr>
        <w:t xml:space="preserve">to do so, </w:t>
      </w:r>
      <w:r w:rsidR="00572980" w:rsidRPr="1540DD9B">
        <w:rPr>
          <w:lang w:eastAsia="en-GB"/>
        </w:rPr>
        <w:t xml:space="preserve">it has been interpreted narrowly and </w:t>
      </w:r>
      <w:r w:rsidR="00EC6465" w:rsidRPr="1540DD9B">
        <w:rPr>
          <w:lang w:eastAsia="en-GB"/>
        </w:rPr>
        <w:t>does not extend beyond formal steps in the litigation</w:t>
      </w:r>
      <w:r w:rsidR="00C13A61" w:rsidRPr="1540DD9B">
        <w:rPr>
          <w:lang w:eastAsia="en-GB"/>
        </w:rPr>
        <w:t xml:space="preserve">. It does not extend to “purely clerical or </w:t>
      </w:r>
      <w:r w:rsidR="00262C8E" w:rsidRPr="1540DD9B">
        <w:rPr>
          <w:lang w:eastAsia="en-GB"/>
        </w:rPr>
        <w:t>mechanical activities”</w:t>
      </w:r>
      <w:r w:rsidR="00795E71" w:rsidRPr="1540DD9B">
        <w:rPr>
          <w:lang w:eastAsia="en-GB"/>
        </w:rPr>
        <w:t xml:space="preserve"> and is intended</w:t>
      </w:r>
      <w:r w:rsidR="005F5CFE" w:rsidRPr="1540DD9B">
        <w:rPr>
          <w:lang w:eastAsia="en-GB"/>
        </w:rPr>
        <w:t xml:space="preserve"> to encompass “formal </w:t>
      </w:r>
      <w:r w:rsidR="00FF78EF" w:rsidRPr="1540DD9B">
        <w:rPr>
          <w:lang w:eastAsia="en-GB"/>
        </w:rPr>
        <w:t>steps required in the conduct of litigation”</w:t>
      </w:r>
      <w:r w:rsidR="00262C8E" w:rsidRPr="1540DD9B">
        <w:rPr>
          <w:lang w:eastAsia="en-GB"/>
        </w:rPr>
        <w:t xml:space="preserve">: </w:t>
      </w:r>
      <w:r w:rsidR="2F7BED90" w:rsidRPr="1540DD9B">
        <w:rPr>
          <w:i/>
          <w:iCs/>
          <w:lang w:eastAsia="en-GB"/>
        </w:rPr>
        <w:t>Agassi</w:t>
      </w:r>
      <w:r w:rsidR="00FB6DAB" w:rsidRPr="1540DD9B">
        <w:rPr>
          <w:i/>
          <w:iCs/>
          <w:lang w:eastAsia="en-GB"/>
        </w:rPr>
        <w:t xml:space="preserve"> </w:t>
      </w:r>
      <w:r w:rsidR="00FF78EF" w:rsidRPr="1540DD9B">
        <w:rPr>
          <w:i/>
          <w:iCs/>
          <w:lang w:eastAsia="en-GB"/>
        </w:rPr>
        <w:t>v.</w:t>
      </w:r>
      <w:r w:rsidR="00FB6DAB" w:rsidRPr="1540DD9B">
        <w:rPr>
          <w:i/>
          <w:iCs/>
          <w:lang w:eastAsia="en-GB"/>
        </w:rPr>
        <w:t xml:space="preserve"> S Robinson (HM Inspector of Taxes) </w:t>
      </w:r>
      <w:r w:rsidR="00FB6DAB" w:rsidRPr="1540DD9B">
        <w:rPr>
          <w:lang w:eastAsia="en-GB"/>
        </w:rPr>
        <w:t>[2006] 1 WLR 2126</w:t>
      </w:r>
      <w:r w:rsidR="00BB0708" w:rsidRPr="1540DD9B">
        <w:rPr>
          <w:lang w:eastAsia="en-GB"/>
        </w:rPr>
        <w:t xml:space="preserve"> at [43]</w:t>
      </w:r>
      <w:r w:rsidR="00FF78EF" w:rsidRPr="1540DD9B">
        <w:rPr>
          <w:lang w:eastAsia="en-GB"/>
        </w:rPr>
        <w:t xml:space="preserve"> and [56].</w:t>
      </w:r>
      <w:r w:rsidR="00EC6465" w:rsidRPr="1540DD9B">
        <w:rPr>
          <w:lang w:eastAsia="en-GB"/>
        </w:rPr>
        <w:t xml:space="preserve"> </w:t>
      </w:r>
    </w:p>
    <w:p w14:paraId="68E951D4" w14:textId="588D87A2" w:rsidR="006A49BC" w:rsidRPr="006A49BC" w:rsidRDefault="0019044F" w:rsidP="00EA0C29">
      <w:pPr>
        <w:pStyle w:val="ParaLevel1"/>
        <w:numPr>
          <w:ilvl w:val="0"/>
          <w:numId w:val="0"/>
        </w:numPr>
        <w:rPr>
          <w:i/>
          <w:iCs/>
          <w:lang w:eastAsia="en-GB"/>
        </w:rPr>
      </w:pPr>
      <w:r>
        <w:rPr>
          <w:i/>
          <w:iCs/>
          <w:lang w:eastAsia="en-GB"/>
        </w:rPr>
        <w:t>I</w:t>
      </w:r>
      <w:r w:rsidR="00BF21A2">
        <w:rPr>
          <w:i/>
          <w:iCs/>
          <w:lang w:eastAsia="en-GB"/>
        </w:rPr>
        <w:t xml:space="preserve">s Mr Rumford </w:t>
      </w:r>
      <w:r w:rsidR="00A011A7">
        <w:rPr>
          <w:i/>
          <w:iCs/>
          <w:lang w:eastAsia="en-GB"/>
        </w:rPr>
        <w:t xml:space="preserve">an </w:t>
      </w:r>
      <w:r w:rsidR="00BF21A2">
        <w:rPr>
          <w:i/>
          <w:iCs/>
          <w:lang w:eastAsia="en-GB"/>
        </w:rPr>
        <w:t xml:space="preserve">Exempt </w:t>
      </w:r>
      <w:r w:rsidR="00690A59">
        <w:rPr>
          <w:i/>
          <w:iCs/>
          <w:lang w:eastAsia="en-GB"/>
        </w:rPr>
        <w:t>Person</w:t>
      </w:r>
      <w:r w:rsidR="00231AD9">
        <w:rPr>
          <w:i/>
          <w:iCs/>
          <w:lang w:eastAsia="en-GB"/>
        </w:rPr>
        <w:t>?</w:t>
      </w:r>
    </w:p>
    <w:p w14:paraId="77627C47" w14:textId="18AC205B" w:rsidR="006A49BC" w:rsidRDefault="00B462E4" w:rsidP="00EA0C29">
      <w:pPr>
        <w:pStyle w:val="ParaLevel1"/>
        <w:rPr>
          <w:lang w:eastAsia="en-GB"/>
        </w:rPr>
      </w:pPr>
      <w:r w:rsidRPr="1540DD9B">
        <w:rPr>
          <w:lang w:eastAsia="en-GB"/>
        </w:rPr>
        <w:t>York’s argument is that a corporation can conduct litigation only through the actions of its</w:t>
      </w:r>
      <w:r w:rsidR="001808B0" w:rsidRPr="1540DD9B">
        <w:rPr>
          <w:lang w:eastAsia="en-GB"/>
        </w:rPr>
        <w:t xml:space="preserve"> officers</w:t>
      </w:r>
      <w:r w:rsidR="6D949519" w:rsidRPr="1540DD9B">
        <w:rPr>
          <w:lang w:eastAsia="en-GB"/>
        </w:rPr>
        <w:t>,</w:t>
      </w:r>
      <w:r w:rsidRPr="1540DD9B">
        <w:rPr>
          <w:lang w:eastAsia="en-GB"/>
        </w:rPr>
        <w:t xml:space="preserve"> </w:t>
      </w:r>
      <w:bookmarkStart w:id="56" w:name="_Int_2g7IGoVs"/>
      <w:r w:rsidRPr="1540DD9B">
        <w:rPr>
          <w:lang w:eastAsia="en-GB"/>
        </w:rPr>
        <w:t>servants</w:t>
      </w:r>
      <w:bookmarkEnd w:id="56"/>
      <w:r w:rsidRPr="1540DD9B">
        <w:rPr>
          <w:lang w:eastAsia="en-GB"/>
        </w:rPr>
        <w:t xml:space="preserve"> or agents. Mr Rumford is authorised by York to conduct the criminal proceedings. He is therefore a “party to the proceedings” in the Crown Court and would have a right to conduct those proceedings personally as a party</w:t>
      </w:r>
      <w:r w:rsidR="001808B0" w:rsidRPr="1540DD9B">
        <w:rPr>
          <w:lang w:eastAsia="en-GB"/>
        </w:rPr>
        <w:t xml:space="preserve">. </w:t>
      </w:r>
      <w:r w:rsidR="7F605894" w:rsidRPr="1540DD9B">
        <w:rPr>
          <w:szCs w:val="24"/>
        </w:rPr>
        <w:t xml:space="preserve">This is said </w:t>
      </w:r>
      <w:r w:rsidR="7F605894" w:rsidRPr="1540DD9B">
        <w:rPr>
          <w:szCs w:val="24"/>
        </w:rPr>
        <w:lastRenderedPageBreak/>
        <w:t>to be a relationship of “embodiment” rather than agency</w:t>
      </w:r>
      <w:r w:rsidR="7F605894" w:rsidRPr="1540DD9B">
        <w:rPr>
          <w:rFonts w:ascii="Calibri" w:eastAsia="Calibri" w:hAnsi="Calibri" w:cs="Calibri"/>
          <w:sz w:val="22"/>
          <w:szCs w:val="22"/>
        </w:rPr>
        <w:t xml:space="preserve">: </w:t>
      </w:r>
      <w:r w:rsidR="7F605894" w:rsidRPr="1540DD9B">
        <w:rPr>
          <w:szCs w:val="24"/>
        </w:rPr>
        <w:t xml:space="preserve">Mr Rumford is not acting </w:t>
      </w:r>
      <w:r w:rsidR="7F605894" w:rsidRPr="1540DD9B">
        <w:rPr>
          <w:i/>
          <w:iCs/>
          <w:szCs w:val="24"/>
        </w:rPr>
        <w:t>on behalf of</w:t>
      </w:r>
      <w:r w:rsidR="7F605894" w:rsidRPr="1540DD9B">
        <w:rPr>
          <w:szCs w:val="24"/>
        </w:rPr>
        <w:t xml:space="preserve"> York; he </w:t>
      </w:r>
      <w:r w:rsidR="7F605894" w:rsidRPr="1540DD9B">
        <w:rPr>
          <w:i/>
          <w:iCs/>
          <w:szCs w:val="24"/>
        </w:rPr>
        <w:t>is</w:t>
      </w:r>
      <w:r w:rsidR="7F605894" w:rsidRPr="1540DD9B">
        <w:rPr>
          <w:szCs w:val="24"/>
        </w:rPr>
        <w:t xml:space="preserve"> York for the purposes of conducting proceedings.</w:t>
      </w:r>
      <w:r w:rsidR="7F605894" w:rsidRPr="1540DD9B">
        <w:t xml:space="preserve"> </w:t>
      </w:r>
      <w:r w:rsidR="00990A21" w:rsidRPr="1540DD9B">
        <w:rPr>
          <w:lang w:eastAsia="en-GB"/>
        </w:rPr>
        <w:t>This argument failed before the judge</w:t>
      </w:r>
      <w:r w:rsidR="008F09A4" w:rsidRPr="1540DD9B">
        <w:rPr>
          <w:lang w:eastAsia="en-GB"/>
        </w:rPr>
        <w:t xml:space="preserve"> for a variety of reasons</w:t>
      </w:r>
      <w:r w:rsidR="002D0EEF" w:rsidRPr="1540DD9B">
        <w:rPr>
          <w:lang w:eastAsia="en-GB"/>
        </w:rPr>
        <w:t xml:space="preserve"> including that he did not accept the </w:t>
      </w:r>
      <w:r w:rsidR="00FD7723" w:rsidRPr="1540DD9B">
        <w:rPr>
          <w:lang w:eastAsia="en-GB"/>
        </w:rPr>
        <w:t>“</w:t>
      </w:r>
      <w:r w:rsidR="002D0EEF" w:rsidRPr="1540DD9B">
        <w:rPr>
          <w:lang w:eastAsia="en-GB"/>
        </w:rPr>
        <w:t>embodiment</w:t>
      </w:r>
      <w:r w:rsidR="00FD7723" w:rsidRPr="1540DD9B">
        <w:rPr>
          <w:lang w:eastAsia="en-GB"/>
        </w:rPr>
        <w:t>”</w:t>
      </w:r>
      <w:r w:rsidR="002D0EEF" w:rsidRPr="1540DD9B">
        <w:rPr>
          <w:lang w:eastAsia="en-GB"/>
        </w:rPr>
        <w:t xml:space="preserve"> </w:t>
      </w:r>
      <w:r w:rsidR="00425D2E" w:rsidRPr="1540DD9B">
        <w:rPr>
          <w:lang w:eastAsia="en-GB"/>
        </w:rPr>
        <w:t xml:space="preserve">proposition. </w:t>
      </w:r>
      <w:r w:rsidR="00E64FD6" w:rsidRPr="1540DD9B">
        <w:rPr>
          <w:lang w:eastAsia="en-GB"/>
        </w:rPr>
        <w:t>Mr Kirk submits he was wrong to do so</w:t>
      </w:r>
      <w:r w:rsidR="008A48AA" w:rsidRPr="1540DD9B">
        <w:rPr>
          <w:lang w:eastAsia="en-GB"/>
        </w:rPr>
        <w:t xml:space="preserve"> and encapsulates his </w:t>
      </w:r>
      <w:r w:rsidR="00F21DAB" w:rsidRPr="1540DD9B">
        <w:rPr>
          <w:lang w:eastAsia="en-GB"/>
        </w:rPr>
        <w:t>submission</w:t>
      </w:r>
      <w:r w:rsidR="00CB6D00" w:rsidRPr="1540DD9B">
        <w:rPr>
          <w:lang w:eastAsia="en-GB"/>
        </w:rPr>
        <w:t xml:space="preserve"> in this way.</w:t>
      </w:r>
    </w:p>
    <w:p w14:paraId="370E2033" w14:textId="353AB03A" w:rsidR="00CB6D00" w:rsidRDefault="00CB6D00" w:rsidP="00EA0C29">
      <w:pPr>
        <w:pStyle w:val="Quote"/>
        <w:rPr>
          <w:lang w:eastAsia="en-GB"/>
        </w:rPr>
      </w:pPr>
      <w:r w:rsidRPr="1540DD9B">
        <w:rPr>
          <w:lang w:eastAsia="en-GB"/>
        </w:rPr>
        <w:t>“… as a local authority</w:t>
      </w:r>
      <w:r w:rsidR="000A3405" w:rsidRPr="1540DD9B">
        <w:rPr>
          <w:lang w:eastAsia="en-GB"/>
        </w:rPr>
        <w:t xml:space="preserve"> is a body corporate under Section 2(3) of the LGA 1972, it is incorporeal and can only</w:t>
      </w:r>
      <w:r w:rsidR="00497B32" w:rsidRPr="1540DD9B">
        <w:rPr>
          <w:lang w:eastAsia="en-GB"/>
        </w:rPr>
        <w:t xml:space="preserve"> act through its authorised officers. [Colin Rumford] was </w:t>
      </w:r>
      <w:r w:rsidR="43E7A208" w:rsidRPr="1540DD9B">
        <w:rPr>
          <w:lang w:eastAsia="en-GB"/>
        </w:rPr>
        <w:t>authorised …</w:t>
      </w:r>
      <w:r w:rsidR="00497B32" w:rsidRPr="1540DD9B">
        <w:rPr>
          <w:lang w:eastAsia="en-GB"/>
        </w:rPr>
        <w:t xml:space="preserve"> </w:t>
      </w:r>
      <w:r w:rsidR="00D76F9A" w:rsidRPr="1540DD9B">
        <w:rPr>
          <w:lang w:eastAsia="en-GB"/>
        </w:rPr>
        <w:t>to bring criminal proceedings. He is the embodiment of the local authority and was entitled to act as such.”</w:t>
      </w:r>
    </w:p>
    <w:p w14:paraId="3A3AE992" w14:textId="193CA25C" w:rsidR="00D85921" w:rsidRDefault="00D85921" w:rsidP="00EA0C29">
      <w:pPr>
        <w:pStyle w:val="ParaLevel1"/>
        <w:rPr>
          <w:lang w:eastAsia="en-GB"/>
        </w:rPr>
      </w:pPr>
      <w:r w:rsidRPr="1540DD9B">
        <w:rPr>
          <w:lang w:eastAsia="en-GB"/>
        </w:rPr>
        <w:t xml:space="preserve">The reasoning </w:t>
      </w:r>
      <w:r w:rsidR="00343843" w:rsidRPr="1540DD9B">
        <w:rPr>
          <w:lang w:eastAsia="en-GB"/>
        </w:rPr>
        <w:t>underlying the submission recognises that</w:t>
      </w:r>
      <w:r w:rsidR="00405A2D" w:rsidRPr="1540DD9B">
        <w:rPr>
          <w:lang w:eastAsia="en-GB"/>
        </w:rPr>
        <w:t xml:space="preserve"> York is a party to the Crown Court proceedings</w:t>
      </w:r>
      <w:r w:rsidR="004531CA" w:rsidRPr="1540DD9B">
        <w:rPr>
          <w:lang w:eastAsia="en-GB"/>
        </w:rPr>
        <w:t xml:space="preserve"> </w:t>
      </w:r>
      <w:r w:rsidR="00405A2D" w:rsidRPr="1540DD9B">
        <w:rPr>
          <w:lang w:eastAsia="en-GB"/>
        </w:rPr>
        <w:t>but</w:t>
      </w:r>
      <w:r w:rsidR="00447AD0" w:rsidRPr="1540DD9B">
        <w:rPr>
          <w:lang w:eastAsia="en-GB"/>
        </w:rPr>
        <w:t xml:space="preserve"> suggests</w:t>
      </w:r>
      <w:r w:rsidR="00405A2D" w:rsidRPr="1540DD9B">
        <w:rPr>
          <w:lang w:eastAsia="en-GB"/>
        </w:rPr>
        <w:t xml:space="preserve"> that Mr Rumford</w:t>
      </w:r>
      <w:r w:rsidR="00435742" w:rsidRPr="1540DD9B">
        <w:rPr>
          <w:lang w:eastAsia="en-GB"/>
        </w:rPr>
        <w:t xml:space="preserve"> should be treated as a party for the purposes of </w:t>
      </w:r>
      <w:r w:rsidR="00C1785B" w:rsidRPr="1540DD9B">
        <w:rPr>
          <w:lang w:eastAsia="en-GB"/>
        </w:rPr>
        <w:t>p</w:t>
      </w:r>
      <w:r w:rsidR="00435742" w:rsidRPr="1540DD9B">
        <w:rPr>
          <w:lang w:eastAsia="en-GB"/>
        </w:rPr>
        <w:t xml:space="preserve">aragraph </w:t>
      </w:r>
      <w:r w:rsidR="001500D0" w:rsidRPr="1540DD9B">
        <w:rPr>
          <w:lang w:eastAsia="en-GB"/>
        </w:rPr>
        <w:t>2(</w:t>
      </w:r>
      <w:r w:rsidR="00435742" w:rsidRPr="1540DD9B">
        <w:rPr>
          <w:lang w:eastAsia="en-GB"/>
        </w:rPr>
        <w:t>4</w:t>
      </w:r>
      <w:r w:rsidR="001500D0" w:rsidRPr="1540DD9B">
        <w:rPr>
          <w:lang w:eastAsia="en-GB"/>
        </w:rPr>
        <w:t>)</w:t>
      </w:r>
      <w:r w:rsidR="00435742" w:rsidRPr="1540DD9B">
        <w:rPr>
          <w:lang w:eastAsia="en-GB"/>
        </w:rPr>
        <w:t>(a)</w:t>
      </w:r>
      <w:r w:rsidR="00447AD0" w:rsidRPr="1540DD9B">
        <w:rPr>
          <w:lang w:eastAsia="en-GB"/>
        </w:rPr>
        <w:t xml:space="preserve"> of </w:t>
      </w:r>
      <w:r w:rsidR="00C1785B" w:rsidRPr="1540DD9B">
        <w:rPr>
          <w:lang w:eastAsia="en-GB"/>
        </w:rPr>
        <w:t>s</w:t>
      </w:r>
      <w:r w:rsidR="00447AD0" w:rsidRPr="1540DD9B">
        <w:rPr>
          <w:lang w:eastAsia="en-GB"/>
        </w:rPr>
        <w:t>chedule 3</w:t>
      </w:r>
      <w:r w:rsidR="6E2355B1" w:rsidRPr="1540DD9B">
        <w:rPr>
          <w:lang w:eastAsia="en-GB"/>
        </w:rPr>
        <w:t xml:space="preserve">. </w:t>
      </w:r>
      <w:r w:rsidR="00F10738" w:rsidRPr="1540DD9B">
        <w:rPr>
          <w:lang w:eastAsia="en-GB"/>
        </w:rPr>
        <w:t xml:space="preserve">It also assumes that were York an individual who </w:t>
      </w:r>
      <w:r w:rsidR="007C63E6" w:rsidRPr="1540DD9B">
        <w:rPr>
          <w:lang w:eastAsia="en-GB"/>
        </w:rPr>
        <w:t>was the prosecutor</w:t>
      </w:r>
      <w:r w:rsidR="00493AE5" w:rsidRPr="1540DD9B">
        <w:rPr>
          <w:lang w:eastAsia="en-GB"/>
        </w:rPr>
        <w:t xml:space="preserve"> </w:t>
      </w:r>
      <w:r w:rsidR="004531CA" w:rsidRPr="1540DD9B">
        <w:rPr>
          <w:lang w:eastAsia="en-GB"/>
        </w:rPr>
        <w:t>(</w:t>
      </w:r>
      <w:r w:rsidR="00493AE5" w:rsidRPr="1540DD9B">
        <w:rPr>
          <w:lang w:eastAsia="en-GB"/>
        </w:rPr>
        <w:t>and so a party</w:t>
      </w:r>
      <w:r w:rsidR="007C63E6" w:rsidRPr="1540DD9B">
        <w:rPr>
          <w:lang w:eastAsia="en-GB"/>
        </w:rPr>
        <w:t xml:space="preserve"> in the Crown Court</w:t>
      </w:r>
      <w:r w:rsidR="004531CA" w:rsidRPr="1540DD9B">
        <w:rPr>
          <w:lang w:eastAsia="en-GB"/>
        </w:rPr>
        <w:t>)</w:t>
      </w:r>
      <w:r w:rsidR="007C63E6" w:rsidRPr="1540DD9B">
        <w:rPr>
          <w:lang w:eastAsia="en-GB"/>
        </w:rPr>
        <w:t xml:space="preserve"> that </w:t>
      </w:r>
      <w:r w:rsidR="00C66820" w:rsidRPr="1540DD9B">
        <w:rPr>
          <w:lang w:eastAsia="en-GB"/>
        </w:rPr>
        <w:t xml:space="preserve">the </w:t>
      </w:r>
      <w:r w:rsidR="007C63E6" w:rsidRPr="1540DD9B">
        <w:rPr>
          <w:lang w:eastAsia="en-GB"/>
        </w:rPr>
        <w:t>individual would have the right</w:t>
      </w:r>
      <w:r w:rsidR="001B2E8C" w:rsidRPr="1540DD9B">
        <w:rPr>
          <w:lang w:eastAsia="en-GB"/>
        </w:rPr>
        <w:t xml:space="preserve"> to</w:t>
      </w:r>
      <w:r w:rsidR="00493AE5" w:rsidRPr="1540DD9B">
        <w:rPr>
          <w:lang w:eastAsia="en-GB"/>
        </w:rPr>
        <w:t xml:space="preserve"> conduct</w:t>
      </w:r>
      <w:r w:rsidR="001B2E8C" w:rsidRPr="1540DD9B">
        <w:rPr>
          <w:lang w:eastAsia="en-GB"/>
        </w:rPr>
        <w:t xml:space="preserve"> the proceedings</w:t>
      </w:r>
      <w:r w:rsidR="005C4EB5" w:rsidRPr="1540DD9B">
        <w:rPr>
          <w:lang w:eastAsia="en-GB"/>
        </w:rPr>
        <w:t xml:space="preserve"> for the purposes of </w:t>
      </w:r>
      <w:r w:rsidR="00141E13" w:rsidRPr="1540DD9B">
        <w:rPr>
          <w:lang w:eastAsia="en-GB"/>
        </w:rPr>
        <w:t>p</w:t>
      </w:r>
      <w:r w:rsidR="005C4EB5" w:rsidRPr="1540DD9B">
        <w:rPr>
          <w:lang w:eastAsia="en-GB"/>
        </w:rPr>
        <w:t xml:space="preserve">aragraph </w:t>
      </w:r>
      <w:r w:rsidR="001500D0" w:rsidRPr="1540DD9B">
        <w:rPr>
          <w:lang w:eastAsia="en-GB"/>
        </w:rPr>
        <w:t>2(</w:t>
      </w:r>
      <w:r w:rsidR="005C4EB5" w:rsidRPr="1540DD9B">
        <w:rPr>
          <w:lang w:eastAsia="en-GB"/>
        </w:rPr>
        <w:t>4</w:t>
      </w:r>
      <w:r w:rsidR="001500D0" w:rsidRPr="1540DD9B">
        <w:rPr>
          <w:lang w:eastAsia="en-GB"/>
        </w:rPr>
        <w:t>)</w:t>
      </w:r>
      <w:r w:rsidR="005C4EB5" w:rsidRPr="1540DD9B">
        <w:rPr>
          <w:lang w:eastAsia="en-GB"/>
        </w:rPr>
        <w:t>(b).</w:t>
      </w:r>
    </w:p>
    <w:p w14:paraId="64559CA8" w14:textId="6FC4E3A0" w:rsidR="00AF1669" w:rsidRDefault="00AF1669" w:rsidP="00EA0C29">
      <w:pPr>
        <w:pStyle w:val="ParaLevel1"/>
        <w:rPr>
          <w:lang w:eastAsia="en-GB"/>
        </w:rPr>
      </w:pPr>
      <w:r>
        <w:rPr>
          <w:lang w:eastAsia="en-GB"/>
        </w:rPr>
        <w:t>The embodiment argument, if correct, would have far reaching consequences for the conduct of litigation</w:t>
      </w:r>
      <w:r w:rsidR="009B0D59">
        <w:rPr>
          <w:lang w:eastAsia="en-GB"/>
        </w:rPr>
        <w:t xml:space="preserve"> and</w:t>
      </w:r>
      <w:r w:rsidR="007A38E7">
        <w:rPr>
          <w:lang w:eastAsia="en-GB"/>
        </w:rPr>
        <w:t xml:space="preserve"> rights of audience across the spectrum of civil and criminal proceedings </w:t>
      </w:r>
      <w:r w:rsidR="009B0D59">
        <w:rPr>
          <w:lang w:eastAsia="en-GB"/>
        </w:rPr>
        <w:t>in which a corporation, statutory or otherwise, were a party.</w:t>
      </w:r>
      <w:r w:rsidR="00FD3D4C">
        <w:rPr>
          <w:lang w:eastAsia="en-GB"/>
        </w:rPr>
        <w:t xml:space="preserve"> In </w:t>
      </w:r>
      <w:r w:rsidR="00041E78">
        <w:rPr>
          <w:lang w:eastAsia="en-GB"/>
        </w:rPr>
        <w:t xml:space="preserve">agreement with the judge, we are unable to accept that </w:t>
      </w:r>
      <w:r w:rsidR="00141E13">
        <w:rPr>
          <w:lang w:eastAsia="en-GB"/>
        </w:rPr>
        <w:t>p</w:t>
      </w:r>
      <w:r w:rsidR="00041E78">
        <w:rPr>
          <w:lang w:eastAsia="en-GB"/>
        </w:rPr>
        <w:t xml:space="preserve">aragraph 2(4)(a) exempts </w:t>
      </w:r>
      <w:r w:rsidR="00E44E54">
        <w:rPr>
          <w:lang w:eastAsia="en-GB"/>
        </w:rPr>
        <w:t xml:space="preserve">an employee of a local authority from the </w:t>
      </w:r>
      <w:r w:rsidR="002E2A7E">
        <w:rPr>
          <w:lang w:eastAsia="en-GB"/>
        </w:rPr>
        <w:t>provisions of the LSA 2007 relating to the conduct of litigation</w:t>
      </w:r>
      <w:r w:rsidR="00F43595">
        <w:rPr>
          <w:lang w:eastAsia="en-GB"/>
        </w:rPr>
        <w:t>.</w:t>
      </w:r>
    </w:p>
    <w:p w14:paraId="51EDA100" w14:textId="46B406A8" w:rsidR="008420D1" w:rsidRDefault="00747DD4" w:rsidP="00EA0C29">
      <w:pPr>
        <w:pStyle w:val="ParaLevel1"/>
        <w:rPr>
          <w:lang w:eastAsia="en-GB"/>
        </w:rPr>
      </w:pPr>
      <w:r w:rsidRPr="1540DD9B">
        <w:rPr>
          <w:lang w:eastAsia="en-GB"/>
        </w:rPr>
        <w:t>Paragraph 2(4)</w:t>
      </w:r>
      <w:r w:rsidR="00C33983" w:rsidRPr="1540DD9B">
        <w:rPr>
          <w:lang w:eastAsia="en-GB"/>
        </w:rPr>
        <w:t xml:space="preserve"> is concerned to preserve</w:t>
      </w:r>
      <w:r w:rsidR="004821CD" w:rsidRPr="1540DD9B">
        <w:rPr>
          <w:lang w:eastAsia="en-GB"/>
        </w:rPr>
        <w:t xml:space="preserve"> pre-existing</w:t>
      </w:r>
      <w:r w:rsidR="00C33983" w:rsidRPr="1540DD9B">
        <w:rPr>
          <w:lang w:eastAsia="en-GB"/>
        </w:rPr>
        <w:t xml:space="preserve"> rights to conduct litigation (and its parallel</w:t>
      </w:r>
      <w:r w:rsidR="0023564C" w:rsidRPr="1540DD9B">
        <w:rPr>
          <w:lang w:eastAsia="en-GB"/>
        </w:rPr>
        <w:t xml:space="preserve"> </w:t>
      </w:r>
      <w:r w:rsidR="00C33983" w:rsidRPr="1540DD9B">
        <w:rPr>
          <w:lang w:eastAsia="en-GB"/>
        </w:rPr>
        <w:t>provision</w:t>
      </w:r>
      <w:r w:rsidR="0023564C" w:rsidRPr="1540DD9B">
        <w:rPr>
          <w:lang w:eastAsia="en-GB"/>
        </w:rPr>
        <w:t xml:space="preserve"> in paragraph 1(6) the</w:t>
      </w:r>
      <w:r w:rsidR="00C33983" w:rsidRPr="1540DD9B">
        <w:rPr>
          <w:lang w:eastAsia="en-GB"/>
        </w:rPr>
        <w:t xml:space="preserve"> rights of audience</w:t>
      </w:r>
      <w:r w:rsidR="00C92183" w:rsidRPr="1540DD9B">
        <w:rPr>
          <w:lang w:eastAsia="en-GB"/>
        </w:rPr>
        <w:t xml:space="preserve">) of parties to </w:t>
      </w:r>
      <w:r w:rsidR="001E4728" w:rsidRPr="1540DD9B">
        <w:rPr>
          <w:lang w:eastAsia="en-GB"/>
        </w:rPr>
        <w:t>legal proceedings</w:t>
      </w:r>
      <w:r w:rsidR="482E2E61" w:rsidRPr="1540DD9B">
        <w:rPr>
          <w:lang w:eastAsia="en-GB"/>
        </w:rPr>
        <w:t xml:space="preserve">. </w:t>
      </w:r>
      <w:r w:rsidR="00DA57D6" w:rsidRPr="1540DD9B">
        <w:rPr>
          <w:lang w:eastAsia="en-GB"/>
        </w:rPr>
        <w:t>At all times York was the party to the criminal proceedings</w:t>
      </w:r>
      <w:r w:rsidR="00CC2AAB" w:rsidRPr="1540DD9B">
        <w:rPr>
          <w:lang w:eastAsia="en-GB"/>
        </w:rPr>
        <w:t xml:space="preserve">. </w:t>
      </w:r>
      <w:r w:rsidR="001E4728" w:rsidRPr="1540DD9B">
        <w:rPr>
          <w:lang w:eastAsia="en-GB"/>
        </w:rPr>
        <w:t>Its nomination</w:t>
      </w:r>
      <w:r w:rsidR="00B41EB6" w:rsidRPr="1540DD9B">
        <w:rPr>
          <w:lang w:eastAsia="en-GB"/>
        </w:rPr>
        <w:t xml:space="preserve"> and authorisation of Mr Rumford did not make him a party to the proceedings. </w:t>
      </w:r>
      <w:r w:rsidR="00FD2127" w:rsidRPr="1540DD9B">
        <w:rPr>
          <w:lang w:eastAsia="en-GB"/>
        </w:rPr>
        <w:t>T</w:t>
      </w:r>
      <w:r w:rsidR="009C48ED" w:rsidRPr="1540DD9B">
        <w:rPr>
          <w:lang w:eastAsia="en-GB"/>
        </w:rPr>
        <w:t xml:space="preserve">he construction advanced by York </w:t>
      </w:r>
      <w:r w:rsidR="0023564C" w:rsidRPr="1540DD9B">
        <w:rPr>
          <w:lang w:eastAsia="en-GB"/>
        </w:rPr>
        <w:t xml:space="preserve">would </w:t>
      </w:r>
      <w:r w:rsidR="009C48ED" w:rsidRPr="1540DD9B">
        <w:rPr>
          <w:lang w:eastAsia="en-GB"/>
        </w:rPr>
        <w:t>drive a coach and horses through the regulatory regime of the LSA 2007</w:t>
      </w:r>
      <w:r w:rsidR="00FD2127" w:rsidRPr="1540DD9B">
        <w:rPr>
          <w:lang w:eastAsia="en-GB"/>
        </w:rPr>
        <w:t>. It would also impose onerous person</w:t>
      </w:r>
      <w:r w:rsidR="00CC787B">
        <w:rPr>
          <w:lang w:eastAsia="en-GB"/>
        </w:rPr>
        <w:t>al</w:t>
      </w:r>
      <w:r w:rsidR="00FD2127" w:rsidRPr="1540DD9B">
        <w:rPr>
          <w:lang w:eastAsia="en-GB"/>
        </w:rPr>
        <w:t xml:space="preserve"> obligations</w:t>
      </w:r>
      <w:r w:rsidR="00042F83" w:rsidRPr="1540DD9B">
        <w:rPr>
          <w:lang w:eastAsia="en-GB"/>
        </w:rPr>
        <w:t xml:space="preserve"> and liabilities</w:t>
      </w:r>
      <w:r w:rsidR="00FD2127" w:rsidRPr="1540DD9B">
        <w:rPr>
          <w:lang w:eastAsia="en-GB"/>
        </w:rPr>
        <w:t xml:space="preserve"> on the</w:t>
      </w:r>
      <w:r w:rsidR="00FE2B4D" w:rsidRPr="1540DD9B">
        <w:rPr>
          <w:lang w:eastAsia="en-GB"/>
        </w:rPr>
        <w:t xml:space="preserve"> person authorised by the corporation in question in both civil and criminal proceeding</w:t>
      </w:r>
      <w:r w:rsidR="00866A50" w:rsidRPr="1540DD9B">
        <w:rPr>
          <w:lang w:eastAsia="en-GB"/>
        </w:rPr>
        <w:t>s</w:t>
      </w:r>
      <w:r w:rsidR="00042F83" w:rsidRPr="1540DD9B">
        <w:rPr>
          <w:lang w:eastAsia="en-GB"/>
        </w:rPr>
        <w:t>.</w:t>
      </w:r>
    </w:p>
    <w:p w14:paraId="77E3F50C" w14:textId="3CD95187" w:rsidR="00747DD4" w:rsidRDefault="00B87EFB" w:rsidP="00EA0C29">
      <w:pPr>
        <w:pStyle w:val="ParaLevel1"/>
        <w:rPr>
          <w:lang w:eastAsia="en-GB"/>
        </w:rPr>
      </w:pPr>
      <w:r w:rsidRPr="1540DD9B">
        <w:rPr>
          <w:lang w:eastAsia="en-GB"/>
        </w:rPr>
        <w:t>The question arises whether</w:t>
      </w:r>
      <w:r w:rsidR="008420D1" w:rsidRPr="1540DD9B">
        <w:rPr>
          <w:lang w:eastAsia="en-GB"/>
        </w:rPr>
        <w:t xml:space="preserve"> York </w:t>
      </w:r>
      <w:r w:rsidRPr="1540DD9B">
        <w:rPr>
          <w:lang w:eastAsia="en-GB"/>
        </w:rPr>
        <w:t xml:space="preserve">was </w:t>
      </w:r>
      <w:r w:rsidR="008420D1" w:rsidRPr="1540DD9B">
        <w:rPr>
          <w:lang w:eastAsia="en-GB"/>
        </w:rPr>
        <w:t>able to conduct the litigation otherwise than through an authorised lawyer</w:t>
      </w:r>
      <w:r w:rsidR="69932421" w:rsidRPr="1540DD9B">
        <w:rPr>
          <w:lang w:eastAsia="en-GB"/>
        </w:rPr>
        <w:t xml:space="preserve">. </w:t>
      </w:r>
    </w:p>
    <w:p w14:paraId="77A5DA2F" w14:textId="2CF4672F" w:rsidR="00652FA8" w:rsidRDefault="00C55775" w:rsidP="00EA0C29">
      <w:pPr>
        <w:pStyle w:val="ParaLevel1"/>
        <w:rPr>
          <w:lang w:eastAsia="en-GB"/>
        </w:rPr>
      </w:pPr>
      <w:r w:rsidRPr="1540DD9B">
        <w:rPr>
          <w:lang w:eastAsia="en-GB"/>
        </w:rPr>
        <w:t xml:space="preserve">York </w:t>
      </w:r>
      <w:r w:rsidR="002A1AE9" w:rsidRPr="1540DD9B">
        <w:rPr>
          <w:lang w:eastAsia="en-GB"/>
        </w:rPr>
        <w:t xml:space="preserve">was </w:t>
      </w:r>
      <w:r w:rsidRPr="1540DD9B">
        <w:rPr>
          <w:lang w:eastAsia="en-GB"/>
        </w:rPr>
        <w:t>authorised by statute to prosecut</w:t>
      </w:r>
      <w:r w:rsidR="003124C7" w:rsidRPr="1540DD9B">
        <w:rPr>
          <w:lang w:eastAsia="en-GB"/>
        </w:rPr>
        <w:t>e</w:t>
      </w:r>
      <w:r w:rsidR="002A1AE9" w:rsidRPr="1540DD9B">
        <w:rPr>
          <w:lang w:eastAsia="en-GB"/>
        </w:rPr>
        <w:t>, not generally but in accordance with</w:t>
      </w:r>
      <w:r w:rsidR="006137B2" w:rsidRPr="1540DD9B">
        <w:rPr>
          <w:lang w:eastAsia="en-GB"/>
        </w:rPr>
        <w:t xml:space="preserve"> the statutory scheme governing its activities. It does not have a general power to prosecute any offence</w:t>
      </w:r>
      <w:r w:rsidR="0077798C" w:rsidRPr="1540DD9B">
        <w:rPr>
          <w:lang w:eastAsia="en-GB"/>
        </w:rPr>
        <w:t xml:space="preserve"> it chooses as</w:t>
      </w:r>
      <w:r w:rsidR="00B45E7E" w:rsidRPr="1540DD9B">
        <w:rPr>
          <w:lang w:eastAsia="en-GB"/>
        </w:rPr>
        <w:t xml:space="preserve"> do</w:t>
      </w:r>
      <w:r w:rsidR="006137B2" w:rsidRPr="1540DD9B">
        <w:rPr>
          <w:lang w:eastAsia="en-GB"/>
        </w:rPr>
        <w:t xml:space="preserve"> individuals and </w:t>
      </w:r>
      <w:r w:rsidR="0077798C" w:rsidRPr="1540DD9B">
        <w:rPr>
          <w:lang w:eastAsia="en-GB"/>
        </w:rPr>
        <w:t xml:space="preserve">ordinary </w:t>
      </w:r>
      <w:r w:rsidR="00B45E7E" w:rsidRPr="1540DD9B">
        <w:rPr>
          <w:lang w:eastAsia="en-GB"/>
        </w:rPr>
        <w:t>corporations. As</w:t>
      </w:r>
      <w:r w:rsidR="003124C7" w:rsidRPr="1540DD9B">
        <w:rPr>
          <w:lang w:eastAsia="en-GB"/>
        </w:rPr>
        <w:t xml:space="preserve"> a statutory body corporate </w:t>
      </w:r>
      <w:r w:rsidR="006276E1" w:rsidRPr="1540DD9B">
        <w:rPr>
          <w:lang w:eastAsia="en-GB"/>
        </w:rPr>
        <w:t>“it can do only those things</w:t>
      </w:r>
      <w:r w:rsidR="001E2A22" w:rsidRPr="1540DD9B">
        <w:rPr>
          <w:lang w:eastAsia="en-GB"/>
        </w:rPr>
        <w:t xml:space="preserve"> which it is authorised to do by statute</w:t>
      </w:r>
      <w:r w:rsidR="00ED58F4" w:rsidRPr="1540DD9B">
        <w:rPr>
          <w:lang w:eastAsia="en-GB"/>
        </w:rPr>
        <w:t xml:space="preserve">” by contrast with a natural </w:t>
      </w:r>
      <w:r w:rsidR="000D5C31" w:rsidRPr="1540DD9B">
        <w:rPr>
          <w:lang w:eastAsia="en-GB"/>
        </w:rPr>
        <w:t xml:space="preserve">person: </w:t>
      </w:r>
      <w:r w:rsidR="00057866" w:rsidRPr="1540DD9B">
        <w:rPr>
          <w:i/>
          <w:iCs/>
          <w:lang w:eastAsia="en-GB"/>
        </w:rPr>
        <w:t xml:space="preserve">R v AB </w:t>
      </w:r>
      <w:r w:rsidR="002E23F9" w:rsidRPr="1540DD9B">
        <w:rPr>
          <w:lang w:eastAsia="en-GB"/>
        </w:rPr>
        <w:t>[2017] 1 WLR 4071 at [77] per Lord Thomas of Cwmg</w:t>
      </w:r>
      <w:r w:rsidR="000857BC" w:rsidRPr="1540DD9B">
        <w:rPr>
          <w:lang w:eastAsia="en-GB"/>
        </w:rPr>
        <w:t>iedd CJ</w:t>
      </w:r>
      <w:r w:rsidR="1D217E6E" w:rsidRPr="1540DD9B">
        <w:rPr>
          <w:lang w:eastAsia="en-GB"/>
        </w:rPr>
        <w:t xml:space="preserve">. </w:t>
      </w:r>
    </w:p>
    <w:p w14:paraId="747CF7DD" w14:textId="1DDD7B20" w:rsidR="0020520F" w:rsidRDefault="004673BA" w:rsidP="00EA0C29">
      <w:pPr>
        <w:pStyle w:val="ParaLevel1"/>
        <w:rPr>
          <w:lang w:eastAsia="en-GB"/>
        </w:rPr>
      </w:pPr>
      <w:r w:rsidRPr="1540DD9B">
        <w:rPr>
          <w:lang w:eastAsia="en-GB"/>
        </w:rPr>
        <w:t xml:space="preserve">Section 223 </w:t>
      </w:r>
      <w:r w:rsidR="00652FA8" w:rsidRPr="1540DD9B">
        <w:rPr>
          <w:lang w:eastAsia="en-GB"/>
        </w:rPr>
        <w:t xml:space="preserve">of the LGA 1972 </w:t>
      </w:r>
      <w:r w:rsidRPr="1540DD9B">
        <w:rPr>
          <w:lang w:eastAsia="en-GB"/>
        </w:rPr>
        <w:t xml:space="preserve">provides </w:t>
      </w:r>
      <w:r w:rsidR="00652FA8" w:rsidRPr="1540DD9B">
        <w:rPr>
          <w:lang w:eastAsia="en-GB"/>
        </w:rPr>
        <w:t>the</w:t>
      </w:r>
      <w:r w:rsidR="004B6958" w:rsidRPr="1540DD9B">
        <w:rPr>
          <w:lang w:eastAsia="en-GB"/>
        </w:rPr>
        <w:t xml:space="preserve"> power to authorise </w:t>
      </w:r>
      <w:r w:rsidR="00513587" w:rsidRPr="1540DD9B">
        <w:rPr>
          <w:lang w:eastAsia="en-GB"/>
        </w:rPr>
        <w:t xml:space="preserve">individuals to prosecute or defend in </w:t>
      </w:r>
      <w:r w:rsidR="009555B2" w:rsidRPr="1540DD9B">
        <w:rPr>
          <w:lang w:eastAsia="en-GB"/>
        </w:rPr>
        <w:t>Magistrates’ Court proceedings</w:t>
      </w:r>
      <w:r w:rsidR="002F4E53" w:rsidRPr="1540DD9B">
        <w:rPr>
          <w:lang w:eastAsia="en-GB"/>
        </w:rPr>
        <w:t xml:space="preserve"> on their behalf</w:t>
      </w:r>
      <w:r w:rsidR="009555B2" w:rsidRPr="1540DD9B">
        <w:rPr>
          <w:lang w:eastAsia="en-GB"/>
        </w:rPr>
        <w:t xml:space="preserve"> and to conduct any such pro</w:t>
      </w:r>
      <w:r w:rsidR="00DA50A2" w:rsidRPr="1540DD9B">
        <w:rPr>
          <w:lang w:eastAsia="en-GB"/>
        </w:rPr>
        <w:t xml:space="preserve">ceedings. </w:t>
      </w:r>
      <w:r w:rsidR="00BE0D74" w:rsidRPr="1540DD9B">
        <w:rPr>
          <w:lang w:eastAsia="en-GB"/>
        </w:rPr>
        <w:t xml:space="preserve">That </w:t>
      </w:r>
      <w:r w:rsidR="00CD1EA3" w:rsidRPr="1540DD9B">
        <w:rPr>
          <w:lang w:eastAsia="en-GB"/>
        </w:rPr>
        <w:t>provision enables persons so authorised to conduct litigation and to appear</w:t>
      </w:r>
      <w:r w:rsidR="00CB08B8" w:rsidRPr="1540DD9B">
        <w:rPr>
          <w:lang w:eastAsia="en-GB"/>
        </w:rPr>
        <w:t xml:space="preserve"> notwithstanding that the activities are reserved legal activities. </w:t>
      </w:r>
      <w:r w:rsidR="00DA50A2" w:rsidRPr="1540DD9B">
        <w:rPr>
          <w:lang w:eastAsia="en-GB"/>
        </w:rPr>
        <w:t xml:space="preserve">No equivalent power is given by statute </w:t>
      </w:r>
      <w:r w:rsidR="00926832" w:rsidRPr="1540DD9B">
        <w:rPr>
          <w:lang w:eastAsia="en-GB"/>
        </w:rPr>
        <w:t>for</w:t>
      </w:r>
      <w:r w:rsidR="00DA50A2" w:rsidRPr="1540DD9B">
        <w:rPr>
          <w:lang w:eastAsia="en-GB"/>
        </w:rPr>
        <w:t xml:space="preserve"> the </w:t>
      </w:r>
      <w:r w:rsidR="00277AA6" w:rsidRPr="1540DD9B">
        <w:rPr>
          <w:lang w:eastAsia="en-GB"/>
        </w:rPr>
        <w:t xml:space="preserve">Crown Court. </w:t>
      </w:r>
    </w:p>
    <w:p w14:paraId="465317E6" w14:textId="563AB153" w:rsidR="00F04F56" w:rsidRDefault="001B42D2" w:rsidP="00EA0C29">
      <w:pPr>
        <w:pStyle w:val="ParaLevel1"/>
        <w:rPr>
          <w:lang w:eastAsia="en-GB"/>
        </w:rPr>
      </w:pPr>
      <w:r w:rsidRPr="1540DD9B">
        <w:rPr>
          <w:lang w:eastAsia="en-GB"/>
        </w:rPr>
        <w:lastRenderedPageBreak/>
        <w:t xml:space="preserve">The </w:t>
      </w:r>
      <w:r w:rsidR="0020520F" w:rsidRPr="1540DD9B">
        <w:rPr>
          <w:lang w:eastAsia="en-GB"/>
        </w:rPr>
        <w:t>common law position was clear</w:t>
      </w:r>
      <w:r w:rsidR="00B80F75" w:rsidRPr="1540DD9B">
        <w:rPr>
          <w:lang w:eastAsia="en-GB"/>
        </w:rPr>
        <w:t>.</w:t>
      </w:r>
      <w:r w:rsidR="008731B0" w:rsidRPr="1540DD9B">
        <w:rPr>
          <w:lang w:eastAsia="en-GB"/>
        </w:rPr>
        <w:t xml:space="preserve"> In criminal courts</w:t>
      </w:r>
      <w:r w:rsidR="00D937C3" w:rsidRPr="1540DD9B">
        <w:rPr>
          <w:lang w:eastAsia="en-GB"/>
        </w:rPr>
        <w:t xml:space="preserve"> the rule was </w:t>
      </w:r>
      <w:r w:rsidR="60E6C5E0" w:rsidRPr="1540DD9B">
        <w:rPr>
          <w:lang w:eastAsia="en-GB"/>
        </w:rPr>
        <w:t>t</w:t>
      </w:r>
      <w:r w:rsidR="00D937C3" w:rsidRPr="1540DD9B">
        <w:rPr>
          <w:lang w:eastAsia="en-GB"/>
        </w:rPr>
        <w:t xml:space="preserve">hat </w:t>
      </w:r>
      <w:r w:rsidR="4A4221D1" w:rsidRPr="1540DD9B">
        <w:rPr>
          <w:lang w:eastAsia="en-GB"/>
        </w:rPr>
        <w:t>“</w:t>
      </w:r>
      <w:r w:rsidR="00426797" w:rsidRPr="1540DD9B">
        <w:rPr>
          <w:lang w:eastAsia="en-GB"/>
        </w:rPr>
        <w:t>a corporation can only appear by attorney”</w:t>
      </w:r>
      <w:r w:rsidR="00B80F75" w:rsidRPr="1540DD9B">
        <w:rPr>
          <w:lang w:eastAsia="en-GB"/>
        </w:rPr>
        <w:t>:</w:t>
      </w:r>
      <w:r w:rsidR="006A24C2" w:rsidRPr="1540DD9B">
        <w:rPr>
          <w:lang w:eastAsia="en-GB"/>
        </w:rPr>
        <w:t xml:space="preserve"> </w:t>
      </w:r>
      <w:r w:rsidR="006A24C2" w:rsidRPr="1540DD9B">
        <w:rPr>
          <w:i/>
          <w:iCs/>
          <w:lang w:eastAsia="en-GB"/>
        </w:rPr>
        <w:t xml:space="preserve">R v Birmingham and Gloucester Railway Company </w:t>
      </w:r>
      <w:r w:rsidR="006A24C2" w:rsidRPr="1540DD9B">
        <w:rPr>
          <w:lang w:eastAsia="en-GB"/>
        </w:rPr>
        <w:t>[1842</w:t>
      </w:r>
      <w:r w:rsidR="00DE5A30" w:rsidRPr="1540DD9B">
        <w:rPr>
          <w:lang w:eastAsia="en-GB"/>
        </w:rPr>
        <w:t>]</w:t>
      </w:r>
      <w:r w:rsidR="006A24C2" w:rsidRPr="1540DD9B">
        <w:rPr>
          <w:lang w:eastAsia="en-GB"/>
        </w:rPr>
        <w:t xml:space="preserve"> 2 QB 223 at 233. </w:t>
      </w:r>
      <w:r w:rsidR="00601872" w:rsidRPr="1540DD9B">
        <w:rPr>
          <w:lang w:eastAsia="en-GB"/>
        </w:rPr>
        <w:t xml:space="preserve">The position was similar in the civil courts (see </w:t>
      </w:r>
      <w:r w:rsidR="00216FD0" w:rsidRPr="1540DD9B">
        <w:rPr>
          <w:i/>
          <w:iCs/>
          <w:lang w:eastAsia="en-GB"/>
        </w:rPr>
        <w:t xml:space="preserve">Charles P Kinnell &amp; Co Ltd v. Harding Wace &amp; Co </w:t>
      </w:r>
      <w:r w:rsidR="00216FD0" w:rsidRPr="1540DD9B">
        <w:rPr>
          <w:lang w:eastAsia="en-GB"/>
        </w:rPr>
        <w:t>[1918</w:t>
      </w:r>
      <w:r w:rsidR="0009209B" w:rsidRPr="1540DD9B">
        <w:rPr>
          <w:lang w:eastAsia="en-GB"/>
        </w:rPr>
        <w:t>] 1 KB 405 per Swinfen Eady LJ at 413</w:t>
      </w:r>
      <w:r w:rsidR="00C50B84" w:rsidRPr="1540DD9B">
        <w:rPr>
          <w:lang w:eastAsia="en-GB"/>
        </w:rPr>
        <w:t>)</w:t>
      </w:r>
      <w:r w:rsidR="434A0A0A" w:rsidRPr="1540DD9B">
        <w:rPr>
          <w:lang w:eastAsia="en-GB"/>
        </w:rPr>
        <w:t xml:space="preserve">. </w:t>
      </w:r>
      <w:r w:rsidR="00D45A3F" w:rsidRPr="1540DD9B">
        <w:rPr>
          <w:lang w:eastAsia="en-GB"/>
        </w:rPr>
        <w:t>Both in criminal and civil proceedings the strict approach</w:t>
      </w:r>
      <w:r w:rsidR="0009209B" w:rsidRPr="1540DD9B">
        <w:rPr>
          <w:lang w:eastAsia="en-GB"/>
        </w:rPr>
        <w:t xml:space="preserve"> has been much attenuated by statute and rules</w:t>
      </w:r>
      <w:r w:rsidR="239BE4F9" w:rsidRPr="1540DD9B">
        <w:rPr>
          <w:lang w:eastAsia="en-GB"/>
        </w:rPr>
        <w:t xml:space="preserve">. </w:t>
      </w:r>
    </w:p>
    <w:p w14:paraId="0B41414E" w14:textId="494708C8" w:rsidR="00DD4E1C" w:rsidRDefault="00D10B39" w:rsidP="00EA0C29">
      <w:pPr>
        <w:pStyle w:val="ParaLevel1"/>
        <w:rPr>
          <w:lang w:eastAsia="en-GB"/>
        </w:rPr>
      </w:pPr>
      <w:r w:rsidRPr="1540DD9B">
        <w:rPr>
          <w:lang w:eastAsia="en-GB"/>
        </w:rPr>
        <w:t xml:space="preserve">The predecessor </w:t>
      </w:r>
      <w:r w:rsidR="002256B3" w:rsidRPr="1540DD9B">
        <w:rPr>
          <w:lang w:eastAsia="en-GB"/>
        </w:rPr>
        <w:t>to section 22</w:t>
      </w:r>
      <w:r w:rsidR="00B539BF" w:rsidRPr="1540DD9B">
        <w:rPr>
          <w:lang w:eastAsia="en-GB"/>
        </w:rPr>
        <w:t>3</w:t>
      </w:r>
      <w:r w:rsidR="002256B3" w:rsidRPr="1540DD9B">
        <w:rPr>
          <w:lang w:eastAsia="en-GB"/>
        </w:rPr>
        <w:t xml:space="preserve"> of the LGA 1972</w:t>
      </w:r>
      <w:r w:rsidR="00141E13" w:rsidRPr="1540DD9B">
        <w:rPr>
          <w:lang w:eastAsia="en-GB"/>
        </w:rPr>
        <w:t xml:space="preserve"> was section </w:t>
      </w:r>
      <w:r w:rsidR="00E0201D" w:rsidRPr="1540DD9B">
        <w:rPr>
          <w:lang w:eastAsia="en-GB"/>
        </w:rPr>
        <w:t>277 of the Local Government Act 1933</w:t>
      </w:r>
      <w:r w:rsidR="008A4221" w:rsidRPr="1540DD9B">
        <w:rPr>
          <w:lang w:eastAsia="en-GB"/>
        </w:rPr>
        <w:t xml:space="preserve"> which was to the same effect but referred to courts of summary </w:t>
      </w:r>
      <w:bookmarkStart w:id="57" w:name="_Int_KrUn3Aam"/>
      <w:r w:rsidR="008A4221" w:rsidRPr="1540DD9B">
        <w:rPr>
          <w:lang w:eastAsia="en-GB"/>
        </w:rPr>
        <w:t>jurisdiction</w:t>
      </w:r>
      <w:bookmarkEnd w:id="57"/>
      <w:r w:rsidR="008A4221" w:rsidRPr="1540DD9B">
        <w:rPr>
          <w:lang w:eastAsia="en-GB"/>
        </w:rPr>
        <w:t xml:space="preserve">. </w:t>
      </w:r>
      <w:r w:rsidR="00EB7E02" w:rsidRPr="1540DD9B">
        <w:rPr>
          <w:lang w:eastAsia="en-GB"/>
        </w:rPr>
        <w:t>Th</w:t>
      </w:r>
      <w:r w:rsidR="00921499" w:rsidRPr="1540DD9B">
        <w:rPr>
          <w:lang w:eastAsia="en-GB"/>
        </w:rPr>
        <w:t xml:space="preserve">at power </w:t>
      </w:r>
      <w:r w:rsidR="00BE4A03" w:rsidRPr="1540DD9B">
        <w:rPr>
          <w:lang w:eastAsia="en-GB"/>
        </w:rPr>
        <w:t>(which long pre-dated the creation of the Crown Court)</w:t>
      </w:r>
      <w:r w:rsidR="00EB7E02" w:rsidRPr="1540DD9B">
        <w:rPr>
          <w:lang w:eastAsia="en-GB"/>
        </w:rPr>
        <w:t xml:space="preserve"> </w:t>
      </w:r>
      <w:r w:rsidR="00921499" w:rsidRPr="1540DD9B">
        <w:rPr>
          <w:lang w:eastAsia="en-GB"/>
        </w:rPr>
        <w:t xml:space="preserve">did not extend </w:t>
      </w:r>
      <w:r w:rsidR="00EB7E02" w:rsidRPr="1540DD9B">
        <w:rPr>
          <w:lang w:eastAsia="en-GB"/>
        </w:rPr>
        <w:t xml:space="preserve">to </w:t>
      </w:r>
      <w:r w:rsidR="00CF1EEC" w:rsidRPr="1540DD9B">
        <w:rPr>
          <w:lang w:eastAsia="en-GB"/>
        </w:rPr>
        <w:t>cases tried</w:t>
      </w:r>
      <w:r w:rsidR="00CB08B8" w:rsidRPr="1540DD9B">
        <w:rPr>
          <w:lang w:eastAsia="en-GB"/>
        </w:rPr>
        <w:t xml:space="preserve"> on </w:t>
      </w:r>
      <w:bookmarkStart w:id="58" w:name="_Int_COhlnRby"/>
      <w:r w:rsidR="00CB08B8" w:rsidRPr="1540DD9B">
        <w:rPr>
          <w:lang w:eastAsia="en-GB"/>
        </w:rPr>
        <w:t>indictment</w:t>
      </w:r>
      <w:bookmarkEnd w:id="58"/>
      <w:r w:rsidR="00921499" w:rsidRPr="1540DD9B">
        <w:rPr>
          <w:lang w:eastAsia="en-GB"/>
        </w:rPr>
        <w:t>. As</w:t>
      </w:r>
      <w:r w:rsidR="00931C24" w:rsidRPr="1540DD9B">
        <w:rPr>
          <w:lang w:eastAsia="en-GB"/>
        </w:rPr>
        <w:t xml:space="preserve"> </w:t>
      </w:r>
      <w:r w:rsidR="00CF779C" w:rsidRPr="1540DD9B">
        <w:rPr>
          <w:lang w:eastAsia="en-GB"/>
        </w:rPr>
        <w:t>Lord Macmillan, the author</w:t>
      </w:r>
      <w:r w:rsidR="00A8173A" w:rsidRPr="1540DD9B">
        <w:rPr>
          <w:lang w:eastAsia="en-GB"/>
        </w:rPr>
        <w:t xml:space="preserve"> of </w:t>
      </w:r>
      <w:r w:rsidR="00A8173A" w:rsidRPr="1540DD9B">
        <w:rPr>
          <w:i/>
          <w:iCs/>
          <w:lang w:eastAsia="en-GB"/>
        </w:rPr>
        <w:t>Local Government Law and Administration in England and Wales</w:t>
      </w:r>
      <w:r w:rsidR="00A8173A" w:rsidRPr="1540DD9B">
        <w:rPr>
          <w:lang w:eastAsia="en-GB"/>
        </w:rPr>
        <w:t xml:space="preserve"> (1934)</w:t>
      </w:r>
      <w:r w:rsidR="00B539BF" w:rsidRPr="1540DD9B">
        <w:rPr>
          <w:lang w:eastAsia="en-GB"/>
        </w:rPr>
        <w:t>,</w:t>
      </w:r>
      <w:r w:rsidR="00A8173A" w:rsidRPr="1540DD9B">
        <w:rPr>
          <w:lang w:eastAsia="en-GB"/>
        </w:rPr>
        <w:t xml:space="preserve"> observed </w:t>
      </w:r>
      <w:r w:rsidR="00580D67" w:rsidRPr="1540DD9B">
        <w:rPr>
          <w:lang w:eastAsia="en-GB"/>
        </w:rPr>
        <w:t>“the present section confines the proceedings to those taken under the Summary Jurisdiction Acts</w:t>
      </w:r>
      <w:r w:rsidR="00DB2448" w:rsidRPr="1540DD9B">
        <w:rPr>
          <w:lang w:eastAsia="en-GB"/>
        </w:rPr>
        <w:t>”</w:t>
      </w:r>
      <w:r w:rsidR="008D0B2B" w:rsidRPr="1540DD9B">
        <w:rPr>
          <w:lang w:eastAsia="en-GB"/>
        </w:rPr>
        <w:t xml:space="preserve"> </w:t>
      </w:r>
      <w:r w:rsidR="00D45A3F" w:rsidRPr="1540DD9B">
        <w:rPr>
          <w:lang w:eastAsia="en-GB"/>
        </w:rPr>
        <w:t>(</w:t>
      </w:r>
      <w:r w:rsidR="008D0B2B" w:rsidRPr="1540DD9B">
        <w:rPr>
          <w:lang w:eastAsia="en-GB"/>
        </w:rPr>
        <w:t>page 78).</w:t>
      </w:r>
    </w:p>
    <w:p w14:paraId="010F9C2A" w14:textId="1A48DE8A" w:rsidR="009B2CEB" w:rsidRDefault="00B539BF" w:rsidP="00EA0C29">
      <w:pPr>
        <w:pStyle w:val="ParaLevel1"/>
        <w:rPr>
          <w:lang w:eastAsia="en-GB"/>
        </w:rPr>
      </w:pPr>
      <w:r w:rsidRPr="1540DD9B">
        <w:rPr>
          <w:lang w:eastAsia="en-GB"/>
        </w:rPr>
        <w:t xml:space="preserve">Section 223 </w:t>
      </w:r>
      <w:r w:rsidR="006B2A70" w:rsidRPr="1540DD9B">
        <w:rPr>
          <w:lang w:eastAsia="en-GB"/>
        </w:rPr>
        <w:t>liberate</w:t>
      </w:r>
      <w:r w:rsidRPr="1540DD9B">
        <w:rPr>
          <w:lang w:eastAsia="en-GB"/>
        </w:rPr>
        <w:t>s</w:t>
      </w:r>
      <w:r w:rsidR="006B2A70" w:rsidRPr="1540DD9B">
        <w:rPr>
          <w:lang w:eastAsia="en-GB"/>
        </w:rPr>
        <w:t xml:space="preserve"> local authorities from the ordinary rules governing the conduct of proceedings in the Magistrates’ Courts</w:t>
      </w:r>
      <w:r w:rsidR="23073737" w:rsidRPr="1540DD9B">
        <w:rPr>
          <w:lang w:eastAsia="en-GB"/>
        </w:rPr>
        <w:t xml:space="preserve">. </w:t>
      </w:r>
      <w:r w:rsidR="002C466F" w:rsidRPr="1540DD9B">
        <w:rPr>
          <w:lang w:eastAsia="en-GB"/>
        </w:rPr>
        <w:t>It</w:t>
      </w:r>
      <w:r w:rsidR="00857966" w:rsidRPr="1540DD9B">
        <w:rPr>
          <w:lang w:eastAsia="en-GB"/>
        </w:rPr>
        <w:t xml:space="preserve"> was amended by the LSA 2007</w:t>
      </w:r>
      <w:r w:rsidR="009E5E44" w:rsidRPr="1540DD9B">
        <w:rPr>
          <w:lang w:eastAsia="en-GB"/>
        </w:rPr>
        <w:t xml:space="preserve"> by adding the words “and to conduct such proceedings” </w:t>
      </w:r>
      <w:r w:rsidR="00857966" w:rsidRPr="1540DD9B">
        <w:rPr>
          <w:lang w:eastAsia="en-GB"/>
        </w:rPr>
        <w:t>to make clear that</w:t>
      </w:r>
      <w:r w:rsidR="00D83B30" w:rsidRPr="1540DD9B">
        <w:rPr>
          <w:lang w:eastAsia="en-GB"/>
        </w:rPr>
        <w:t xml:space="preserve"> in the Magistrates’ Court there was no need to involve a</w:t>
      </w:r>
      <w:r w:rsidR="002C466F" w:rsidRPr="1540DD9B">
        <w:rPr>
          <w:lang w:eastAsia="en-GB"/>
        </w:rPr>
        <w:t>n authorised litigator.</w:t>
      </w:r>
      <w:r w:rsidR="00D83B30" w:rsidRPr="1540DD9B">
        <w:rPr>
          <w:lang w:eastAsia="en-GB"/>
        </w:rPr>
        <w:t xml:space="preserve"> </w:t>
      </w:r>
      <w:r w:rsidR="00687919" w:rsidRPr="1540DD9B">
        <w:rPr>
          <w:lang w:eastAsia="en-GB"/>
        </w:rPr>
        <w:t>No such</w:t>
      </w:r>
      <w:r w:rsidR="00434193" w:rsidRPr="1540DD9B">
        <w:rPr>
          <w:lang w:eastAsia="en-GB"/>
        </w:rPr>
        <w:t xml:space="preserve"> statutory provision covers the Crown Court.</w:t>
      </w:r>
      <w:r w:rsidR="00857966" w:rsidRPr="1540DD9B">
        <w:rPr>
          <w:lang w:eastAsia="en-GB"/>
        </w:rPr>
        <w:t xml:space="preserve"> </w:t>
      </w:r>
      <w:r w:rsidR="008524BD" w:rsidRPr="1540DD9B">
        <w:rPr>
          <w:lang w:eastAsia="en-GB"/>
        </w:rPr>
        <w:t>Indeed, if the argument advanced by York were correct</w:t>
      </w:r>
      <w:r w:rsidR="00A80BC8" w:rsidRPr="1540DD9B">
        <w:rPr>
          <w:lang w:eastAsia="en-GB"/>
        </w:rPr>
        <w:t>,</w:t>
      </w:r>
      <w:r w:rsidR="00221393" w:rsidRPr="1540DD9B">
        <w:rPr>
          <w:lang w:eastAsia="en-GB"/>
        </w:rPr>
        <w:t xml:space="preserve"> </w:t>
      </w:r>
      <w:bookmarkStart w:id="59" w:name="_Int_MUpchYFQ"/>
      <w:r w:rsidR="00221393" w:rsidRPr="1540DD9B">
        <w:rPr>
          <w:lang w:eastAsia="en-GB"/>
        </w:rPr>
        <w:t>statutory</w:t>
      </w:r>
      <w:bookmarkEnd w:id="59"/>
      <w:r w:rsidR="00221393" w:rsidRPr="1540DD9B">
        <w:rPr>
          <w:lang w:eastAsia="en-GB"/>
        </w:rPr>
        <w:t xml:space="preserve"> and</w:t>
      </w:r>
      <w:r w:rsidR="007E2DC4" w:rsidRPr="1540DD9B">
        <w:rPr>
          <w:lang w:eastAsia="en-GB"/>
        </w:rPr>
        <w:t xml:space="preserve"> </w:t>
      </w:r>
      <w:r w:rsidR="00221393" w:rsidRPr="1540DD9B">
        <w:rPr>
          <w:lang w:eastAsia="en-GB"/>
        </w:rPr>
        <w:t xml:space="preserve">other corporations would be able to identify an individual to act as their </w:t>
      </w:r>
      <w:r w:rsidR="00221393" w:rsidRPr="1540DD9B">
        <w:rPr>
          <w:i/>
          <w:iCs/>
          <w:lang w:eastAsia="en-GB"/>
        </w:rPr>
        <w:t xml:space="preserve">alter ego </w:t>
      </w:r>
      <w:r w:rsidR="003C3E45" w:rsidRPr="1540DD9B">
        <w:rPr>
          <w:lang w:eastAsia="en-GB"/>
        </w:rPr>
        <w:t>and circumvent</w:t>
      </w:r>
      <w:r w:rsidR="008904B3" w:rsidRPr="1540DD9B">
        <w:rPr>
          <w:lang w:eastAsia="en-GB"/>
        </w:rPr>
        <w:t xml:space="preserve"> much of</w:t>
      </w:r>
      <w:r w:rsidR="003C3E45" w:rsidRPr="1540DD9B">
        <w:rPr>
          <w:lang w:eastAsia="en-GB"/>
        </w:rPr>
        <w:t xml:space="preserve"> </w:t>
      </w:r>
      <w:r w:rsidR="008F766A" w:rsidRPr="1540DD9B">
        <w:rPr>
          <w:lang w:eastAsia="en-GB"/>
        </w:rPr>
        <w:t>the statutory scheme of the LSA 2007</w:t>
      </w:r>
      <w:r w:rsidR="0ED47856" w:rsidRPr="1540DD9B">
        <w:rPr>
          <w:lang w:eastAsia="en-GB"/>
        </w:rPr>
        <w:t xml:space="preserve">. </w:t>
      </w:r>
    </w:p>
    <w:p w14:paraId="4FF3332A" w14:textId="3F31BF26" w:rsidR="006C53B5" w:rsidRDefault="002210F1" w:rsidP="00EA0C29">
      <w:pPr>
        <w:pStyle w:val="ParaLevel1"/>
        <w:rPr>
          <w:lang w:eastAsia="en-GB"/>
        </w:rPr>
      </w:pPr>
      <w:r w:rsidRPr="1540DD9B">
        <w:rPr>
          <w:lang w:eastAsia="en-GB"/>
        </w:rPr>
        <w:t>At common law</w:t>
      </w:r>
      <w:r w:rsidR="00CF71CC" w:rsidRPr="1540DD9B">
        <w:rPr>
          <w:lang w:eastAsia="en-GB"/>
        </w:rPr>
        <w:t xml:space="preserve"> no</w:t>
      </w:r>
      <w:r w:rsidR="00951856" w:rsidRPr="1540DD9B">
        <w:rPr>
          <w:lang w:eastAsia="en-GB"/>
        </w:rPr>
        <w:t>t</w:t>
      </w:r>
      <w:r w:rsidR="00CF71CC" w:rsidRPr="1540DD9B">
        <w:rPr>
          <w:lang w:eastAsia="en-GB"/>
        </w:rPr>
        <w:t xml:space="preserve"> only </w:t>
      </w:r>
      <w:r w:rsidR="00951856" w:rsidRPr="1540DD9B">
        <w:rPr>
          <w:lang w:eastAsia="en-GB"/>
        </w:rPr>
        <w:t>wer</w:t>
      </w:r>
      <w:r w:rsidR="00CF71CC" w:rsidRPr="1540DD9B">
        <w:rPr>
          <w:lang w:eastAsia="en-GB"/>
        </w:rPr>
        <w:t xml:space="preserve">e corporations required to be represented </w:t>
      </w:r>
      <w:r w:rsidR="001932AC" w:rsidRPr="1540DD9B">
        <w:rPr>
          <w:lang w:eastAsia="en-GB"/>
        </w:rPr>
        <w:t xml:space="preserve">for the purposes of conducting litigation on </w:t>
      </w:r>
      <w:bookmarkStart w:id="60" w:name="_Int_ByEnUz2a"/>
      <w:r w:rsidR="001932AC" w:rsidRPr="1540DD9B">
        <w:rPr>
          <w:lang w:eastAsia="en-GB"/>
        </w:rPr>
        <w:t>indictment</w:t>
      </w:r>
      <w:bookmarkEnd w:id="60"/>
      <w:r w:rsidR="001932AC" w:rsidRPr="1540DD9B">
        <w:rPr>
          <w:lang w:eastAsia="en-GB"/>
        </w:rPr>
        <w:t xml:space="preserve"> but so too </w:t>
      </w:r>
      <w:r w:rsidR="00951856" w:rsidRPr="1540DD9B">
        <w:rPr>
          <w:lang w:eastAsia="en-GB"/>
        </w:rPr>
        <w:t>were, and are, private prosecutors</w:t>
      </w:r>
      <w:r w:rsidR="00213C73" w:rsidRPr="1540DD9B">
        <w:rPr>
          <w:lang w:eastAsia="en-GB"/>
        </w:rPr>
        <w:t>, whether corporate or natural: see</w:t>
      </w:r>
      <w:r w:rsidR="00780F3A" w:rsidRPr="1540DD9B">
        <w:rPr>
          <w:lang w:eastAsia="en-GB"/>
        </w:rPr>
        <w:t xml:space="preserve"> the discussion in</w:t>
      </w:r>
      <w:r w:rsidR="00D90780" w:rsidRPr="1540DD9B">
        <w:rPr>
          <w:lang w:eastAsia="en-GB"/>
        </w:rPr>
        <w:t xml:space="preserve"> Blackstone Criminal Practice 2023</w:t>
      </w:r>
      <w:r w:rsidR="00761A74" w:rsidRPr="1540DD9B">
        <w:rPr>
          <w:lang w:eastAsia="en-GB"/>
        </w:rPr>
        <w:t xml:space="preserve"> at D3.114</w:t>
      </w:r>
      <w:r w:rsidR="00FC5BD2" w:rsidRPr="1540DD9B">
        <w:rPr>
          <w:lang w:eastAsia="en-GB"/>
        </w:rPr>
        <w:t>;</w:t>
      </w:r>
      <w:r w:rsidR="00761A74" w:rsidRPr="1540DD9B">
        <w:rPr>
          <w:lang w:eastAsia="en-GB"/>
        </w:rPr>
        <w:t xml:space="preserve"> and </w:t>
      </w:r>
      <w:r w:rsidR="795C5D71" w:rsidRPr="1540DD9B">
        <w:rPr>
          <w:lang w:eastAsia="en-GB"/>
        </w:rPr>
        <w:t>R</w:t>
      </w:r>
      <w:r w:rsidR="00213C73" w:rsidRPr="1540DD9B">
        <w:rPr>
          <w:i/>
          <w:iCs/>
          <w:lang w:eastAsia="en-GB"/>
        </w:rPr>
        <w:t xml:space="preserve"> v. Southwark Crown Court ex parte T</w:t>
      </w:r>
      <w:r w:rsidR="0049314F" w:rsidRPr="1540DD9B">
        <w:rPr>
          <w:i/>
          <w:iCs/>
          <w:lang w:eastAsia="en-GB"/>
        </w:rPr>
        <w:t xml:space="preserve">awfick </w:t>
      </w:r>
      <w:r w:rsidR="0049314F" w:rsidRPr="1540DD9B">
        <w:rPr>
          <w:lang w:eastAsia="en-GB"/>
        </w:rPr>
        <w:t>[1995] Crim LR 658</w:t>
      </w:r>
      <w:r w:rsidR="006C53B5" w:rsidRPr="1540DD9B">
        <w:rPr>
          <w:lang w:eastAsia="en-GB"/>
        </w:rPr>
        <w:t xml:space="preserve">. In that case </w:t>
      </w:r>
      <w:r w:rsidR="00C6358B" w:rsidRPr="1540DD9B">
        <w:rPr>
          <w:lang w:eastAsia="en-GB"/>
        </w:rPr>
        <w:t xml:space="preserve">it was </w:t>
      </w:r>
      <w:r w:rsidR="006C53B5" w:rsidRPr="1540DD9B">
        <w:rPr>
          <w:lang w:eastAsia="en-GB"/>
        </w:rPr>
        <w:t>held</w:t>
      </w:r>
      <w:r w:rsidR="00C6358B" w:rsidRPr="1540DD9B">
        <w:rPr>
          <w:lang w:eastAsia="en-GB"/>
        </w:rPr>
        <w:t xml:space="preserve"> that</w:t>
      </w:r>
      <w:r w:rsidR="0049314F" w:rsidRPr="1540DD9B">
        <w:rPr>
          <w:lang w:eastAsia="en-GB"/>
        </w:rPr>
        <w:t xml:space="preserve"> the discretion conferred by</w:t>
      </w:r>
      <w:r w:rsidR="00CB0DCE" w:rsidRPr="1540DD9B">
        <w:rPr>
          <w:lang w:eastAsia="en-GB"/>
        </w:rPr>
        <w:t xml:space="preserve"> the Legal Services Act 1990 to allow an unrepresented prosecutor</w:t>
      </w:r>
      <w:r w:rsidR="002904A7" w:rsidRPr="1540DD9B">
        <w:rPr>
          <w:lang w:eastAsia="en-GB"/>
        </w:rPr>
        <w:t xml:space="preserve"> to conduct a prosecution in the Crown Court</w:t>
      </w:r>
      <w:r w:rsidR="00C1187B" w:rsidRPr="1540DD9B">
        <w:rPr>
          <w:lang w:eastAsia="en-GB"/>
        </w:rPr>
        <w:t xml:space="preserve"> </w:t>
      </w:r>
      <w:r w:rsidR="005443F2" w:rsidRPr="1540DD9B">
        <w:rPr>
          <w:lang w:eastAsia="en-GB"/>
        </w:rPr>
        <w:t>should be e</w:t>
      </w:r>
      <w:r w:rsidR="00C1187B" w:rsidRPr="1540DD9B">
        <w:rPr>
          <w:lang w:eastAsia="en-GB"/>
        </w:rPr>
        <w:t>xercised sparingly</w:t>
      </w:r>
      <w:r w:rsidR="005443F2" w:rsidRPr="1540DD9B">
        <w:rPr>
          <w:lang w:eastAsia="en-GB"/>
        </w:rPr>
        <w:t xml:space="preserve"> and </w:t>
      </w:r>
      <w:r w:rsidR="00E25FD5" w:rsidRPr="1540DD9B">
        <w:rPr>
          <w:lang w:eastAsia="en-GB"/>
        </w:rPr>
        <w:t>only in “exceptional circumstances”</w:t>
      </w:r>
      <w:r w:rsidR="004378E1" w:rsidRPr="1540DD9B">
        <w:rPr>
          <w:lang w:eastAsia="en-GB"/>
        </w:rPr>
        <w:t xml:space="preserve"> for clear public interest reasons</w:t>
      </w:r>
      <w:r w:rsidR="37F8D854" w:rsidRPr="1540DD9B">
        <w:rPr>
          <w:lang w:eastAsia="en-GB"/>
        </w:rPr>
        <w:t xml:space="preserve">. </w:t>
      </w:r>
      <w:r w:rsidR="006C53B5" w:rsidRPr="1540DD9B">
        <w:rPr>
          <w:lang w:eastAsia="en-GB"/>
        </w:rPr>
        <w:t>T</w:t>
      </w:r>
      <w:r w:rsidR="004E1150" w:rsidRPr="1540DD9B">
        <w:rPr>
          <w:lang w:eastAsia="en-GB"/>
        </w:rPr>
        <w:t>hat</w:t>
      </w:r>
      <w:r w:rsidR="006C53B5" w:rsidRPr="1540DD9B">
        <w:rPr>
          <w:lang w:eastAsia="en-GB"/>
        </w:rPr>
        <w:t xml:space="preserve"> is the</w:t>
      </w:r>
      <w:r w:rsidR="004E1150" w:rsidRPr="1540DD9B">
        <w:rPr>
          <w:lang w:eastAsia="en-GB"/>
        </w:rPr>
        <w:t xml:space="preserve"> discretion now found in schedule 3 to the LSA 2007</w:t>
      </w:r>
      <w:r w:rsidR="06144864" w:rsidRPr="1540DD9B">
        <w:rPr>
          <w:lang w:eastAsia="en-GB"/>
        </w:rPr>
        <w:t xml:space="preserve">. </w:t>
      </w:r>
    </w:p>
    <w:p w14:paraId="3E738811" w14:textId="47395A78" w:rsidR="00F275A0" w:rsidRDefault="00F275A0" w:rsidP="00EA0C29">
      <w:pPr>
        <w:pStyle w:val="ParaLevel1"/>
        <w:rPr>
          <w:lang w:eastAsia="en-GB"/>
        </w:rPr>
      </w:pPr>
      <w:r w:rsidRPr="1540DD9B">
        <w:rPr>
          <w:lang w:eastAsia="en-GB"/>
        </w:rPr>
        <w:t xml:space="preserve">The CrimPR make provision </w:t>
      </w:r>
      <w:r w:rsidR="003920B2" w:rsidRPr="1540DD9B">
        <w:rPr>
          <w:lang w:eastAsia="en-GB"/>
        </w:rPr>
        <w:t xml:space="preserve">in general terms for how </w:t>
      </w:r>
      <w:r w:rsidR="005A08E1" w:rsidRPr="1540DD9B">
        <w:rPr>
          <w:lang w:eastAsia="en-GB"/>
        </w:rPr>
        <w:t xml:space="preserve">bodies corporate must conduct criminal litigation. </w:t>
      </w:r>
      <w:r w:rsidR="001E04B6" w:rsidRPr="1540DD9B">
        <w:rPr>
          <w:lang w:eastAsia="en-GB"/>
        </w:rPr>
        <w:t>Rule 2.2</w:t>
      </w:r>
      <w:r w:rsidR="0032245D" w:rsidRPr="1540DD9B">
        <w:rPr>
          <w:lang w:eastAsia="en-GB"/>
        </w:rPr>
        <w:t xml:space="preserve"> defines legal representative as:</w:t>
      </w:r>
    </w:p>
    <w:p w14:paraId="709AB506" w14:textId="77777777" w:rsidR="00450CD1" w:rsidRDefault="0052315D" w:rsidP="00EA0C29">
      <w:pPr>
        <w:pStyle w:val="Quote"/>
        <w:rPr>
          <w:lang w:eastAsia="en-GB"/>
        </w:rPr>
      </w:pPr>
      <w:r>
        <w:rPr>
          <w:lang w:eastAsia="en-GB"/>
        </w:rPr>
        <w:t>“(i) The person</w:t>
      </w:r>
      <w:r w:rsidRPr="0052315D">
        <w:rPr>
          <w:lang w:eastAsia="en-GB"/>
        </w:rPr>
        <w:t xml:space="preserve"> for the time being named as a party's representative in any legal aid representation order made under section 16 of the </w:t>
      </w:r>
      <w:r>
        <w:rPr>
          <w:lang w:eastAsia="en-GB"/>
        </w:rPr>
        <w:t>L</w:t>
      </w:r>
      <w:r w:rsidRPr="0052315D">
        <w:rPr>
          <w:lang w:eastAsia="en-GB"/>
        </w:rPr>
        <w:t xml:space="preserve">egal </w:t>
      </w:r>
      <w:r>
        <w:rPr>
          <w:lang w:eastAsia="en-GB"/>
        </w:rPr>
        <w:t>A</w:t>
      </w:r>
      <w:r w:rsidRPr="0052315D">
        <w:rPr>
          <w:lang w:eastAsia="en-GB"/>
        </w:rPr>
        <w:t xml:space="preserve">id, </w:t>
      </w:r>
      <w:r>
        <w:rPr>
          <w:lang w:eastAsia="en-GB"/>
        </w:rPr>
        <w:t>S</w:t>
      </w:r>
      <w:r w:rsidRPr="0052315D">
        <w:rPr>
          <w:lang w:eastAsia="en-GB"/>
        </w:rPr>
        <w:t>entenc</w:t>
      </w:r>
      <w:r>
        <w:rPr>
          <w:lang w:eastAsia="en-GB"/>
        </w:rPr>
        <w:t xml:space="preserve">ing </w:t>
      </w:r>
      <w:r w:rsidRPr="0052315D">
        <w:rPr>
          <w:lang w:eastAsia="en-GB"/>
        </w:rPr>
        <w:t xml:space="preserve">and </w:t>
      </w:r>
      <w:r>
        <w:rPr>
          <w:lang w:eastAsia="en-GB"/>
        </w:rPr>
        <w:t>P</w:t>
      </w:r>
      <w:r w:rsidRPr="0052315D">
        <w:rPr>
          <w:lang w:eastAsia="en-GB"/>
        </w:rPr>
        <w:t>unishment of offenders Act 2012, or</w:t>
      </w:r>
    </w:p>
    <w:p w14:paraId="00F339B3" w14:textId="78BBCB2F" w:rsidR="0032245D" w:rsidRDefault="00450CD1" w:rsidP="00EA0C29">
      <w:pPr>
        <w:pStyle w:val="Quote"/>
        <w:rPr>
          <w:lang w:eastAsia="en-GB"/>
        </w:rPr>
      </w:pPr>
      <w:r w:rsidRPr="1540DD9B">
        <w:rPr>
          <w:lang w:eastAsia="en-GB"/>
        </w:rPr>
        <w:t xml:space="preserve">(ii) subject to that, the person named as a party’s representative in any notice for the time being given under rule 46.2 </w:t>
      </w:r>
      <w:r w:rsidR="000F5CEF" w:rsidRPr="1540DD9B">
        <w:rPr>
          <w:lang w:eastAsia="en-GB"/>
        </w:rPr>
        <w:t>(N</w:t>
      </w:r>
      <w:r w:rsidRPr="1540DD9B">
        <w:rPr>
          <w:lang w:eastAsia="en-GB"/>
        </w:rPr>
        <w:t xml:space="preserve">otice of appointment, etc. </w:t>
      </w:r>
      <w:r w:rsidR="000F5CEF" w:rsidRPr="1540DD9B">
        <w:rPr>
          <w:lang w:eastAsia="en-GB"/>
        </w:rPr>
        <w:t>o</w:t>
      </w:r>
      <w:r w:rsidRPr="1540DD9B">
        <w:rPr>
          <w:lang w:eastAsia="en-GB"/>
        </w:rPr>
        <w:t>f legal representative</w:t>
      </w:r>
      <w:r w:rsidR="000F5CEF" w:rsidRPr="1540DD9B">
        <w:rPr>
          <w:lang w:eastAsia="en-GB"/>
        </w:rPr>
        <w:t>:</w:t>
      </w:r>
      <w:r w:rsidRPr="1540DD9B">
        <w:rPr>
          <w:lang w:eastAsia="en-GB"/>
        </w:rPr>
        <w:t xml:space="preserve"> general rules</w:t>
      </w:r>
      <w:r w:rsidR="000F5CEF" w:rsidRPr="1540DD9B">
        <w:rPr>
          <w:lang w:eastAsia="en-GB"/>
        </w:rPr>
        <w:t>)</w:t>
      </w:r>
      <w:r w:rsidRPr="1540DD9B">
        <w:rPr>
          <w:lang w:eastAsia="en-GB"/>
        </w:rPr>
        <w:t xml:space="preserve"> </w:t>
      </w:r>
      <w:bookmarkStart w:id="61" w:name="_Int_Tcu2kDY8"/>
      <w:r w:rsidRPr="1540DD9B">
        <w:rPr>
          <w:lang w:eastAsia="en-GB"/>
        </w:rPr>
        <w:t>provided that</w:t>
      </w:r>
      <w:bookmarkEnd w:id="61"/>
      <w:r w:rsidRPr="1540DD9B">
        <w:rPr>
          <w:lang w:eastAsia="en-GB"/>
        </w:rPr>
        <w:t xml:space="preserve"> person is entitled to conduct litigation in the court under section 13 of the legal services Act 2007</w:t>
      </w:r>
      <w:r w:rsidR="000F5CEF" w:rsidRPr="1540DD9B">
        <w:rPr>
          <w:lang w:eastAsia="en-GB"/>
        </w:rPr>
        <w:t>.</w:t>
      </w:r>
      <w:r w:rsidRPr="1540DD9B">
        <w:rPr>
          <w:lang w:eastAsia="en-GB"/>
        </w:rPr>
        <w:t>”</w:t>
      </w:r>
    </w:p>
    <w:p w14:paraId="35B7388C" w14:textId="6CF87275" w:rsidR="0012156C" w:rsidRDefault="00D55E85" w:rsidP="00EA0C29">
      <w:pPr>
        <w:pStyle w:val="ParaLevel1"/>
        <w:numPr>
          <w:ilvl w:val="0"/>
          <w:numId w:val="0"/>
        </w:numPr>
        <w:ind w:left="720"/>
        <w:rPr>
          <w:lang w:eastAsia="en-GB"/>
        </w:rPr>
      </w:pPr>
      <w:r>
        <w:rPr>
          <w:lang w:eastAsia="en-GB"/>
        </w:rPr>
        <w:t>Rule 46.1</w:t>
      </w:r>
      <w:r w:rsidR="00170E2D">
        <w:rPr>
          <w:lang w:eastAsia="en-GB"/>
        </w:rPr>
        <w:t xml:space="preserve"> is concerned with functions of representatives</w:t>
      </w:r>
      <w:r w:rsidR="00E673CF">
        <w:rPr>
          <w:lang w:eastAsia="en-GB"/>
        </w:rPr>
        <w:t>. As material it provides:</w:t>
      </w:r>
    </w:p>
    <w:p w14:paraId="42964C71" w14:textId="1AFF5349" w:rsidR="0065662B" w:rsidRPr="0065662B" w:rsidRDefault="00E673CF" w:rsidP="00EA0C29">
      <w:pPr>
        <w:pStyle w:val="Quote"/>
        <w:rPr>
          <w:lang w:eastAsia="en-GB"/>
        </w:rPr>
      </w:pPr>
      <w:r>
        <w:rPr>
          <w:lang w:eastAsia="en-GB"/>
        </w:rPr>
        <w:t xml:space="preserve">“(1) </w:t>
      </w:r>
      <w:r w:rsidRPr="00E673CF">
        <w:rPr>
          <w:lang w:eastAsia="en-GB"/>
        </w:rPr>
        <w:t>Under these rules,</w:t>
      </w:r>
      <w:r w:rsidR="00E82153" w:rsidRPr="00E82153">
        <w:rPr>
          <w:lang w:eastAsia="en-GB"/>
        </w:rPr>
        <w:t xml:space="preserve"> anything that a party may or must do may be done</w:t>
      </w:r>
      <w:r w:rsidR="00E82153">
        <w:rPr>
          <w:lang w:eastAsia="en-GB"/>
        </w:rPr>
        <w:t xml:space="preserve"> –</w:t>
      </w:r>
    </w:p>
    <w:p w14:paraId="243EBB7E" w14:textId="698ECEAD" w:rsidR="00E82153" w:rsidRDefault="0065662B" w:rsidP="00EA0C29">
      <w:pPr>
        <w:pStyle w:val="ParaLevel5"/>
        <w:tabs>
          <w:tab w:val="clear" w:pos="3545"/>
          <w:tab w:val="num" w:pos="1985"/>
        </w:tabs>
        <w:ind w:left="1985" w:firstLine="0"/>
        <w:rPr>
          <w:lang w:eastAsia="en-GB"/>
        </w:rPr>
      </w:pPr>
      <w:r>
        <w:rPr>
          <w:lang w:eastAsia="en-GB"/>
        </w:rPr>
        <w:lastRenderedPageBreak/>
        <w:t xml:space="preserve"> </w:t>
      </w:r>
      <w:r w:rsidR="00E82153" w:rsidRPr="00E82153">
        <w:rPr>
          <w:lang w:eastAsia="en-GB"/>
        </w:rPr>
        <w:t xml:space="preserve">by a legal representative on that </w:t>
      </w:r>
      <w:r w:rsidR="009A53EA" w:rsidRPr="00E82153">
        <w:rPr>
          <w:lang w:eastAsia="en-GB"/>
        </w:rPr>
        <w:t>party's</w:t>
      </w:r>
      <w:r w:rsidR="00E82153" w:rsidRPr="00E82153">
        <w:rPr>
          <w:lang w:eastAsia="en-GB"/>
        </w:rPr>
        <w:t xml:space="preserve"> behalf;</w:t>
      </w:r>
    </w:p>
    <w:p w14:paraId="15D376E1" w14:textId="093FA44D" w:rsidR="0075684F" w:rsidRDefault="0065662B" w:rsidP="00EA0C29">
      <w:pPr>
        <w:pStyle w:val="ParaLevel5"/>
        <w:tabs>
          <w:tab w:val="clear" w:pos="3545"/>
        </w:tabs>
        <w:ind w:left="1985" w:right="651" w:firstLine="0"/>
        <w:rPr>
          <w:lang w:eastAsia="en-GB"/>
        </w:rPr>
      </w:pPr>
      <w:r>
        <w:rPr>
          <w:lang w:eastAsia="en-GB"/>
        </w:rPr>
        <w:t xml:space="preserve"> </w:t>
      </w:r>
      <w:r w:rsidR="00E82153" w:rsidRPr="00E82153">
        <w:rPr>
          <w:lang w:eastAsia="en-GB"/>
        </w:rPr>
        <w:t>by a person with the corporation</w:t>
      </w:r>
      <w:r w:rsidR="009A53EA">
        <w:rPr>
          <w:lang w:eastAsia="en-GB"/>
        </w:rPr>
        <w:t>’</w:t>
      </w:r>
      <w:r w:rsidR="00E82153" w:rsidRPr="00E82153">
        <w:rPr>
          <w:lang w:eastAsia="en-GB"/>
        </w:rPr>
        <w:t>s</w:t>
      </w:r>
      <w:r w:rsidR="0075684F" w:rsidRPr="0075684F">
        <w:rPr>
          <w:lang w:eastAsia="en-GB"/>
        </w:rPr>
        <w:t xml:space="preserve"> written authority, where that corporation is a defendant;</w:t>
      </w:r>
    </w:p>
    <w:p w14:paraId="21C4A015" w14:textId="01310513" w:rsidR="0075684F" w:rsidRDefault="0065662B" w:rsidP="00EA0C29">
      <w:pPr>
        <w:pStyle w:val="ParaLevel5"/>
        <w:numPr>
          <w:ilvl w:val="0"/>
          <w:numId w:val="0"/>
        </w:numPr>
        <w:ind w:left="1985"/>
        <w:rPr>
          <w:lang w:eastAsia="en-GB"/>
        </w:rPr>
      </w:pPr>
      <w:r>
        <w:rPr>
          <w:lang w:eastAsia="en-GB"/>
        </w:rPr>
        <w:t xml:space="preserve">(c) </w:t>
      </w:r>
      <w:r w:rsidR="0075684F">
        <w:rPr>
          <w:lang w:eastAsia="en-GB"/>
        </w:rPr>
        <w:t xml:space="preserve"> …</w:t>
      </w:r>
    </w:p>
    <w:p w14:paraId="0FD173F4" w14:textId="113C6CC4" w:rsidR="00D31F10" w:rsidRDefault="0065662B" w:rsidP="00EA0C29">
      <w:pPr>
        <w:pStyle w:val="ParaLevel5"/>
        <w:numPr>
          <w:ilvl w:val="0"/>
          <w:numId w:val="28"/>
        </w:numPr>
        <w:ind w:left="1418" w:right="651" w:firstLine="0"/>
        <w:rPr>
          <w:lang w:eastAsia="en-GB"/>
        </w:rPr>
      </w:pPr>
      <w:r>
        <w:rPr>
          <w:lang w:eastAsia="en-GB"/>
        </w:rPr>
        <w:t xml:space="preserve"> </w:t>
      </w:r>
      <w:r w:rsidR="00D31F10" w:rsidRPr="00D31F10">
        <w:rPr>
          <w:lang w:eastAsia="en-GB"/>
        </w:rPr>
        <w:t>A member, officer or employee of a prosecutor may, on the prosecutor</w:t>
      </w:r>
      <w:r w:rsidR="005E3851">
        <w:rPr>
          <w:lang w:eastAsia="en-GB"/>
        </w:rPr>
        <w:t>’</w:t>
      </w:r>
      <w:r w:rsidR="00D31F10" w:rsidRPr="00D31F10">
        <w:rPr>
          <w:lang w:eastAsia="en-GB"/>
        </w:rPr>
        <w:t>s behalf</w:t>
      </w:r>
      <w:r w:rsidR="00D31F10">
        <w:rPr>
          <w:lang w:eastAsia="en-GB"/>
        </w:rPr>
        <w:t xml:space="preserve"> –</w:t>
      </w:r>
    </w:p>
    <w:p w14:paraId="54058278" w14:textId="61A75D71" w:rsidR="00560F44" w:rsidRDefault="0059287A" w:rsidP="00EA0C29">
      <w:pPr>
        <w:pStyle w:val="ParaLevel5"/>
        <w:numPr>
          <w:ilvl w:val="0"/>
          <w:numId w:val="0"/>
        </w:numPr>
        <w:ind w:left="1985" w:right="651"/>
        <w:rPr>
          <w:lang w:eastAsia="en-GB"/>
        </w:rPr>
      </w:pPr>
      <w:r>
        <w:rPr>
          <w:lang w:eastAsia="en-GB"/>
        </w:rPr>
        <w:t xml:space="preserve">(a) </w:t>
      </w:r>
      <w:r w:rsidR="00560F44" w:rsidRPr="00560F44">
        <w:rPr>
          <w:lang w:eastAsia="en-GB"/>
        </w:rPr>
        <w:t xml:space="preserve">serve on the Magistrates Court officer, or present to a Magistrates Court, an application for a summons or warrant under section </w:t>
      </w:r>
      <w:r w:rsidR="005E3851">
        <w:rPr>
          <w:lang w:eastAsia="en-GB"/>
        </w:rPr>
        <w:t xml:space="preserve">1 </w:t>
      </w:r>
      <w:r w:rsidR="00560F44" w:rsidRPr="00560F44">
        <w:rPr>
          <w:lang w:eastAsia="en-GB"/>
        </w:rPr>
        <w:t xml:space="preserve">of the Magistrates Court act 1980; </w:t>
      </w:r>
      <w:r w:rsidR="00560F44">
        <w:rPr>
          <w:lang w:eastAsia="en-GB"/>
        </w:rPr>
        <w:t>o</w:t>
      </w:r>
      <w:r w:rsidR="00560F44" w:rsidRPr="00560F44">
        <w:rPr>
          <w:lang w:eastAsia="en-GB"/>
        </w:rPr>
        <w:t>r</w:t>
      </w:r>
    </w:p>
    <w:p w14:paraId="7EAE863C" w14:textId="359B3162" w:rsidR="00315528" w:rsidRPr="0012156C" w:rsidRDefault="006A1FCC" w:rsidP="00EA0C29">
      <w:pPr>
        <w:pStyle w:val="ParaLevel5"/>
        <w:numPr>
          <w:ilvl w:val="0"/>
          <w:numId w:val="0"/>
        </w:numPr>
        <w:ind w:left="1985" w:right="651"/>
        <w:rPr>
          <w:lang w:eastAsia="en-GB"/>
        </w:rPr>
      </w:pPr>
      <w:r>
        <w:rPr>
          <w:lang w:eastAsia="en-GB"/>
        </w:rPr>
        <w:t xml:space="preserve">(b) </w:t>
      </w:r>
      <w:r w:rsidRPr="006A1FCC">
        <w:rPr>
          <w:lang w:eastAsia="en-GB"/>
        </w:rPr>
        <w:t>issue a written charge and requisition, or single justice procedure notice, under section 29 of the Criminal Justice Act 20</w:t>
      </w:r>
      <w:r w:rsidR="003E3202">
        <w:rPr>
          <w:lang w:eastAsia="en-GB"/>
        </w:rPr>
        <w:t>03.</w:t>
      </w:r>
      <w:r w:rsidR="0075684F">
        <w:rPr>
          <w:lang w:eastAsia="en-GB"/>
        </w:rPr>
        <w:t>”</w:t>
      </w:r>
    </w:p>
    <w:p w14:paraId="6239FCB3" w14:textId="5520A56F" w:rsidR="00D05090" w:rsidRDefault="0085144B" w:rsidP="00EA0C29">
      <w:pPr>
        <w:pStyle w:val="ParaLevel1"/>
        <w:rPr>
          <w:lang w:eastAsia="en-GB"/>
        </w:rPr>
      </w:pPr>
      <w:r w:rsidRPr="1540DD9B">
        <w:rPr>
          <w:lang w:eastAsia="en-GB"/>
        </w:rPr>
        <w:t xml:space="preserve">The notes that follow </w:t>
      </w:r>
      <w:r w:rsidR="00FD245C" w:rsidRPr="1540DD9B">
        <w:rPr>
          <w:lang w:eastAsia="en-GB"/>
        </w:rPr>
        <w:t>re</w:t>
      </w:r>
      <w:r w:rsidRPr="1540DD9B">
        <w:rPr>
          <w:lang w:eastAsia="en-GB"/>
        </w:rPr>
        <w:t>f</w:t>
      </w:r>
      <w:r w:rsidR="00FD245C" w:rsidRPr="1540DD9B">
        <w:rPr>
          <w:lang w:eastAsia="en-GB"/>
        </w:rPr>
        <w:t>e</w:t>
      </w:r>
      <w:r w:rsidRPr="1540DD9B">
        <w:rPr>
          <w:lang w:eastAsia="en-GB"/>
        </w:rPr>
        <w:t>r to</w:t>
      </w:r>
      <w:r w:rsidR="008278AB" w:rsidRPr="1540DD9B">
        <w:rPr>
          <w:lang w:eastAsia="en-GB"/>
        </w:rPr>
        <w:t xml:space="preserve"> </w:t>
      </w:r>
      <w:r w:rsidRPr="1540DD9B">
        <w:rPr>
          <w:lang w:eastAsia="en-GB"/>
        </w:rPr>
        <w:t>section 33</w:t>
      </w:r>
      <w:r w:rsidR="00CC2F73" w:rsidRPr="1540DD9B">
        <w:rPr>
          <w:lang w:eastAsia="en-GB"/>
        </w:rPr>
        <w:t>(</w:t>
      </w:r>
      <w:r w:rsidRPr="1540DD9B">
        <w:rPr>
          <w:lang w:eastAsia="en-GB"/>
        </w:rPr>
        <w:t>6</w:t>
      </w:r>
      <w:r w:rsidR="00CC2F73" w:rsidRPr="1540DD9B">
        <w:rPr>
          <w:lang w:eastAsia="en-GB"/>
        </w:rPr>
        <w:t>)</w:t>
      </w:r>
      <w:r w:rsidRPr="1540DD9B">
        <w:rPr>
          <w:lang w:eastAsia="en-GB"/>
        </w:rPr>
        <w:t xml:space="preserve"> of the Criminal Justice Act </w:t>
      </w:r>
      <w:r w:rsidR="00FD245C" w:rsidRPr="1540DD9B">
        <w:rPr>
          <w:lang w:eastAsia="en-GB"/>
        </w:rPr>
        <w:t xml:space="preserve">1925, section 46 of the </w:t>
      </w:r>
      <w:r w:rsidR="00CC2F73" w:rsidRPr="1540DD9B">
        <w:rPr>
          <w:lang w:eastAsia="en-GB"/>
        </w:rPr>
        <w:t>M</w:t>
      </w:r>
      <w:r w:rsidR="00FD245C" w:rsidRPr="1540DD9B">
        <w:rPr>
          <w:lang w:eastAsia="en-GB"/>
        </w:rPr>
        <w:t xml:space="preserve">agistrates </w:t>
      </w:r>
      <w:r w:rsidR="00CC2F73" w:rsidRPr="1540DD9B">
        <w:rPr>
          <w:lang w:eastAsia="en-GB"/>
        </w:rPr>
        <w:t>C</w:t>
      </w:r>
      <w:r w:rsidR="00FD245C" w:rsidRPr="1540DD9B">
        <w:rPr>
          <w:lang w:eastAsia="en-GB"/>
        </w:rPr>
        <w:t xml:space="preserve">ourts </w:t>
      </w:r>
      <w:r w:rsidR="009D5152" w:rsidRPr="1540DD9B">
        <w:rPr>
          <w:lang w:eastAsia="en-GB"/>
        </w:rPr>
        <w:t>A</w:t>
      </w:r>
      <w:r w:rsidR="00FD245C" w:rsidRPr="1540DD9B">
        <w:rPr>
          <w:lang w:eastAsia="en-GB"/>
        </w:rPr>
        <w:t xml:space="preserve">ct 1980 and schedule </w:t>
      </w:r>
      <w:r w:rsidR="00CC2F73" w:rsidRPr="1540DD9B">
        <w:rPr>
          <w:lang w:eastAsia="en-GB"/>
        </w:rPr>
        <w:t>3</w:t>
      </w:r>
      <w:r w:rsidR="00FD245C" w:rsidRPr="1540DD9B">
        <w:rPr>
          <w:lang w:eastAsia="en-GB"/>
        </w:rPr>
        <w:t xml:space="preserve"> to that act as making provision for the representation of corporation</w:t>
      </w:r>
      <w:r w:rsidR="00772AB4" w:rsidRPr="1540DD9B">
        <w:rPr>
          <w:lang w:eastAsia="en-GB"/>
        </w:rPr>
        <w:t>s in criminal proceedings</w:t>
      </w:r>
      <w:r w:rsidR="00FD245C" w:rsidRPr="1540DD9B">
        <w:rPr>
          <w:lang w:eastAsia="en-GB"/>
        </w:rPr>
        <w:t xml:space="preserve">. </w:t>
      </w:r>
      <w:r w:rsidR="008278AB" w:rsidRPr="1540DD9B">
        <w:rPr>
          <w:lang w:eastAsia="en-GB"/>
        </w:rPr>
        <w:t>T</w:t>
      </w:r>
      <w:r w:rsidR="00FD245C" w:rsidRPr="1540DD9B">
        <w:rPr>
          <w:lang w:eastAsia="en-GB"/>
        </w:rPr>
        <w:t xml:space="preserve">hey also refer to section 223 of the </w:t>
      </w:r>
      <w:r w:rsidR="131A8E0A" w:rsidRPr="1540DD9B">
        <w:rPr>
          <w:lang w:eastAsia="en-GB"/>
        </w:rPr>
        <w:t>LGA</w:t>
      </w:r>
      <w:r w:rsidR="00FD245C" w:rsidRPr="1540DD9B">
        <w:rPr>
          <w:lang w:eastAsia="en-GB"/>
        </w:rPr>
        <w:t xml:space="preserve"> 1972.</w:t>
      </w:r>
      <w:r w:rsidR="00D27C31" w:rsidRPr="1540DD9B">
        <w:rPr>
          <w:lang w:eastAsia="en-GB"/>
        </w:rPr>
        <w:t xml:space="preserve"> Neither the Criminal Justice Act</w:t>
      </w:r>
      <w:r w:rsidR="00E47205" w:rsidRPr="1540DD9B">
        <w:rPr>
          <w:lang w:eastAsia="en-GB"/>
        </w:rPr>
        <w:t xml:space="preserve"> 1925 nor the Magistrates Courts Act 1980</w:t>
      </w:r>
      <w:r w:rsidR="00CF73EF" w:rsidRPr="1540DD9B">
        <w:rPr>
          <w:lang w:eastAsia="en-GB"/>
        </w:rPr>
        <w:t xml:space="preserve">, which are concerned with corporations as defendants in </w:t>
      </w:r>
      <w:r w:rsidR="00793E16" w:rsidRPr="1540DD9B">
        <w:rPr>
          <w:lang w:eastAsia="en-GB"/>
        </w:rPr>
        <w:t>criminal</w:t>
      </w:r>
      <w:r w:rsidR="00CF73EF" w:rsidRPr="1540DD9B">
        <w:rPr>
          <w:lang w:eastAsia="en-GB"/>
        </w:rPr>
        <w:t xml:space="preserve"> proceedings</w:t>
      </w:r>
      <w:r w:rsidR="00793E16" w:rsidRPr="1540DD9B">
        <w:rPr>
          <w:lang w:eastAsia="en-GB"/>
        </w:rPr>
        <w:t>,</w:t>
      </w:r>
      <w:r w:rsidR="00E47205" w:rsidRPr="1540DD9B">
        <w:rPr>
          <w:lang w:eastAsia="en-GB"/>
        </w:rPr>
        <w:t xml:space="preserve"> authorise</w:t>
      </w:r>
      <w:r w:rsidR="009D5152" w:rsidRPr="1540DD9B">
        <w:rPr>
          <w:lang w:eastAsia="en-GB"/>
        </w:rPr>
        <w:t>s</w:t>
      </w:r>
      <w:r w:rsidR="00E47205" w:rsidRPr="1540DD9B">
        <w:rPr>
          <w:lang w:eastAsia="en-GB"/>
        </w:rPr>
        <w:t xml:space="preserve"> a corporation to conduct </w:t>
      </w:r>
      <w:r w:rsidR="00AE1397" w:rsidRPr="1540DD9B">
        <w:rPr>
          <w:lang w:eastAsia="en-GB"/>
        </w:rPr>
        <w:t>Crown Court</w:t>
      </w:r>
      <w:r w:rsidR="008873C1" w:rsidRPr="1540DD9B">
        <w:rPr>
          <w:lang w:eastAsia="en-GB"/>
        </w:rPr>
        <w:t xml:space="preserve"> </w:t>
      </w:r>
      <w:r w:rsidR="00E47205" w:rsidRPr="1540DD9B">
        <w:rPr>
          <w:lang w:eastAsia="en-GB"/>
        </w:rPr>
        <w:t>litigation</w:t>
      </w:r>
      <w:r w:rsidR="008873C1" w:rsidRPr="1540DD9B">
        <w:rPr>
          <w:lang w:eastAsia="en-GB"/>
        </w:rPr>
        <w:t xml:space="preserve"> through a </w:t>
      </w:r>
      <w:r w:rsidR="00E73392" w:rsidRPr="1540DD9B">
        <w:rPr>
          <w:lang w:eastAsia="en-GB"/>
        </w:rPr>
        <w:t>representative</w:t>
      </w:r>
      <w:r w:rsidR="00AE1397" w:rsidRPr="1540DD9B">
        <w:rPr>
          <w:lang w:eastAsia="en-GB"/>
        </w:rPr>
        <w:t xml:space="preserve"> who is not authorised for the purposes of the LSA 2007</w:t>
      </w:r>
      <w:r w:rsidR="00E73392" w:rsidRPr="1540DD9B">
        <w:rPr>
          <w:lang w:eastAsia="en-GB"/>
        </w:rPr>
        <w:t xml:space="preserve">. It is nonetheless of interest in the context of York’s argument that section </w:t>
      </w:r>
      <w:r w:rsidR="00405ED6" w:rsidRPr="1540DD9B">
        <w:rPr>
          <w:lang w:eastAsia="en-GB"/>
        </w:rPr>
        <w:t>33(</w:t>
      </w:r>
      <w:r w:rsidR="00A66D3E" w:rsidRPr="1540DD9B">
        <w:rPr>
          <w:lang w:eastAsia="en-GB"/>
        </w:rPr>
        <w:t>3</w:t>
      </w:r>
      <w:r w:rsidR="00405ED6" w:rsidRPr="1540DD9B">
        <w:rPr>
          <w:lang w:eastAsia="en-GB"/>
        </w:rPr>
        <w:t xml:space="preserve">) of the Criminal Justice Act 1925 </w:t>
      </w:r>
      <w:r w:rsidR="00260B0A" w:rsidRPr="1540DD9B">
        <w:rPr>
          <w:lang w:eastAsia="en-GB"/>
        </w:rPr>
        <w:t>enable</w:t>
      </w:r>
      <w:r w:rsidR="00405ED6" w:rsidRPr="1540DD9B">
        <w:rPr>
          <w:lang w:eastAsia="en-GB"/>
        </w:rPr>
        <w:t xml:space="preserve">s </w:t>
      </w:r>
      <w:r w:rsidR="00671DB1" w:rsidRPr="1540DD9B">
        <w:rPr>
          <w:lang w:eastAsia="en-GB"/>
        </w:rPr>
        <w:t>a duly authorised representative to enter a written plea</w:t>
      </w:r>
      <w:r w:rsidR="00792F55" w:rsidRPr="1540DD9B">
        <w:rPr>
          <w:lang w:eastAsia="en-GB"/>
        </w:rPr>
        <w:t xml:space="preserve"> on</w:t>
      </w:r>
      <w:r w:rsidR="00A66D3E" w:rsidRPr="1540DD9B">
        <w:rPr>
          <w:lang w:eastAsia="en-GB"/>
        </w:rPr>
        <w:t xml:space="preserve"> behalf of </w:t>
      </w:r>
      <w:r w:rsidR="00792F55" w:rsidRPr="1540DD9B">
        <w:rPr>
          <w:lang w:eastAsia="en-GB"/>
        </w:rPr>
        <w:t>a corporation</w:t>
      </w:r>
      <w:r w:rsidR="00793E16" w:rsidRPr="1540DD9B">
        <w:rPr>
          <w:lang w:eastAsia="en-GB"/>
        </w:rPr>
        <w:t xml:space="preserve"> on </w:t>
      </w:r>
      <w:r w:rsidR="006220A5" w:rsidRPr="1540DD9B">
        <w:rPr>
          <w:lang w:eastAsia="en-GB"/>
        </w:rPr>
        <w:t>arraignment</w:t>
      </w:r>
      <w:r w:rsidR="00577D14" w:rsidRPr="1540DD9B">
        <w:rPr>
          <w:lang w:eastAsia="en-GB"/>
        </w:rPr>
        <w:t xml:space="preserve"> but by section 33(6) </w:t>
      </w:r>
      <w:r w:rsidR="00792F55" w:rsidRPr="1540DD9B">
        <w:rPr>
          <w:lang w:eastAsia="en-GB"/>
        </w:rPr>
        <w:t>provides</w:t>
      </w:r>
      <w:r w:rsidR="00747750" w:rsidRPr="1540DD9B">
        <w:rPr>
          <w:lang w:eastAsia="en-GB"/>
        </w:rPr>
        <w:t xml:space="preserve"> “but a person so appointed shall not, by virtue only of being so appointed, be qualified to act on behalf of the corporation before any court for any other purpose”.</w:t>
      </w:r>
      <w:r w:rsidR="002B6EE4" w:rsidRPr="1540DD9B">
        <w:rPr>
          <w:lang w:eastAsia="en-GB"/>
        </w:rPr>
        <w:t xml:space="preserve"> </w:t>
      </w:r>
    </w:p>
    <w:p w14:paraId="37EB4B00" w14:textId="56255160" w:rsidR="0052315D" w:rsidRDefault="00D05090" w:rsidP="00EA0C29">
      <w:pPr>
        <w:pStyle w:val="ParaLevel1"/>
        <w:rPr>
          <w:lang w:eastAsia="en-GB"/>
        </w:rPr>
      </w:pPr>
      <w:r w:rsidRPr="1540DD9B">
        <w:rPr>
          <w:lang w:eastAsia="en-GB"/>
        </w:rPr>
        <w:t>R</w:t>
      </w:r>
      <w:r w:rsidR="002B6EE4" w:rsidRPr="1540DD9B">
        <w:rPr>
          <w:lang w:eastAsia="en-GB"/>
        </w:rPr>
        <w:t>ule 46.1(</w:t>
      </w:r>
      <w:bookmarkStart w:id="62" w:name="_Int_gPGZHY3E"/>
      <w:r w:rsidR="002B6EE4" w:rsidRPr="1540DD9B">
        <w:rPr>
          <w:lang w:eastAsia="en-GB"/>
        </w:rPr>
        <w:t>1)</w:t>
      </w:r>
      <w:bookmarkEnd w:id="62"/>
      <w:r w:rsidR="002B6EE4" w:rsidRPr="1540DD9B">
        <w:rPr>
          <w:lang w:eastAsia="en-GB"/>
        </w:rPr>
        <w:t>(b) enables steps to be taken under the rules by</w:t>
      </w:r>
      <w:r w:rsidR="00A331AF" w:rsidRPr="1540DD9B">
        <w:rPr>
          <w:lang w:eastAsia="en-GB"/>
        </w:rPr>
        <w:t xml:space="preserve"> any person so authorised</w:t>
      </w:r>
      <w:r w:rsidR="00586A56" w:rsidRPr="1540DD9B">
        <w:rPr>
          <w:lang w:eastAsia="en-GB"/>
        </w:rPr>
        <w:t xml:space="preserve"> by a corporation when that corporation is a defendant</w:t>
      </w:r>
      <w:r w:rsidRPr="1540DD9B">
        <w:rPr>
          <w:lang w:eastAsia="en-GB"/>
        </w:rPr>
        <w:t>. The</w:t>
      </w:r>
      <w:r w:rsidR="00874781" w:rsidRPr="1540DD9B">
        <w:rPr>
          <w:lang w:eastAsia="en-GB"/>
        </w:rPr>
        <w:t xml:space="preserve"> rule does not extend to corporations as </w:t>
      </w:r>
      <w:r w:rsidR="00FD464E" w:rsidRPr="1540DD9B">
        <w:rPr>
          <w:lang w:eastAsia="en-GB"/>
        </w:rPr>
        <w:t>prosecutors.</w:t>
      </w:r>
      <w:r w:rsidR="00984ACC" w:rsidRPr="1540DD9B">
        <w:rPr>
          <w:lang w:eastAsia="en-GB"/>
        </w:rPr>
        <w:t xml:space="preserve"> 46.1(2) </w:t>
      </w:r>
      <w:r w:rsidR="003E0C51" w:rsidRPr="1540DD9B">
        <w:rPr>
          <w:lang w:eastAsia="en-GB"/>
        </w:rPr>
        <w:t xml:space="preserve">makes </w:t>
      </w:r>
      <w:r w:rsidR="00134AA9" w:rsidRPr="1540DD9B">
        <w:rPr>
          <w:lang w:eastAsia="en-GB"/>
        </w:rPr>
        <w:t>discrete provision in respect of the Magistrates’ Court and not</w:t>
      </w:r>
      <w:r w:rsidR="00984ACC" w:rsidRPr="1540DD9B">
        <w:rPr>
          <w:lang w:eastAsia="en-GB"/>
        </w:rPr>
        <w:t xml:space="preserve"> the Crown Court.</w:t>
      </w:r>
    </w:p>
    <w:p w14:paraId="685A14C3" w14:textId="1E438304" w:rsidR="00984ACC" w:rsidRDefault="00657532" w:rsidP="00EA0C29">
      <w:pPr>
        <w:pStyle w:val="ParaLevel1"/>
        <w:rPr>
          <w:lang w:eastAsia="en-GB"/>
        </w:rPr>
      </w:pPr>
      <w:r w:rsidRPr="1540DD9B">
        <w:rPr>
          <w:lang w:eastAsia="en-GB"/>
        </w:rPr>
        <w:t xml:space="preserve">Corporations, whether statutory or otherwise, </w:t>
      </w:r>
      <w:r w:rsidR="004E34AC" w:rsidRPr="1540DD9B">
        <w:rPr>
          <w:lang w:eastAsia="en-GB"/>
        </w:rPr>
        <w:t xml:space="preserve">have the benefit of </w:t>
      </w:r>
      <w:r w:rsidR="00CB44F9" w:rsidRPr="1540DD9B">
        <w:rPr>
          <w:lang w:eastAsia="en-GB"/>
        </w:rPr>
        <w:t xml:space="preserve">multiple </w:t>
      </w:r>
      <w:r w:rsidR="001432C6" w:rsidRPr="1540DD9B">
        <w:rPr>
          <w:lang w:eastAsia="en-GB"/>
        </w:rPr>
        <w:t>legislative</w:t>
      </w:r>
      <w:r w:rsidR="00CB44F9" w:rsidRPr="1540DD9B">
        <w:rPr>
          <w:lang w:eastAsia="en-GB"/>
        </w:rPr>
        <w:t xml:space="preserve"> provisions which enable them</w:t>
      </w:r>
      <w:r w:rsidR="000968BE" w:rsidRPr="1540DD9B">
        <w:rPr>
          <w:lang w:eastAsia="en-GB"/>
        </w:rPr>
        <w:t xml:space="preserve"> to conduct proceedings</w:t>
      </w:r>
      <w:r w:rsidR="005012DE" w:rsidRPr="1540DD9B">
        <w:rPr>
          <w:lang w:eastAsia="en-GB"/>
        </w:rPr>
        <w:t>, or certain aspects of them,</w:t>
      </w:r>
      <w:r w:rsidR="000968BE" w:rsidRPr="1540DD9B">
        <w:rPr>
          <w:lang w:eastAsia="en-GB"/>
        </w:rPr>
        <w:t xml:space="preserve"> in the Magistrates’ Courts and the Crown Court</w:t>
      </w:r>
      <w:r w:rsidR="7CA5DAE6" w:rsidRPr="1540DD9B">
        <w:rPr>
          <w:lang w:eastAsia="en-GB"/>
        </w:rPr>
        <w:t xml:space="preserve">. </w:t>
      </w:r>
      <w:r w:rsidR="005012DE" w:rsidRPr="1540DD9B">
        <w:rPr>
          <w:lang w:eastAsia="en-GB"/>
        </w:rPr>
        <w:t xml:space="preserve">None </w:t>
      </w:r>
      <w:r w:rsidR="004F5120" w:rsidRPr="1540DD9B">
        <w:rPr>
          <w:lang w:eastAsia="en-GB"/>
        </w:rPr>
        <w:t xml:space="preserve">to which our attention has been drawn </w:t>
      </w:r>
      <w:r w:rsidR="005012DE" w:rsidRPr="1540DD9B">
        <w:rPr>
          <w:lang w:eastAsia="en-GB"/>
        </w:rPr>
        <w:t xml:space="preserve">enables a </w:t>
      </w:r>
      <w:r w:rsidR="00A7784D" w:rsidRPr="1540DD9B">
        <w:rPr>
          <w:lang w:eastAsia="en-GB"/>
        </w:rPr>
        <w:t>local authority to conduct litigation in the Crown Court</w:t>
      </w:r>
      <w:r w:rsidR="003A6F88" w:rsidRPr="1540DD9B">
        <w:rPr>
          <w:lang w:eastAsia="en-GB"/>
        </w:rPr>
        <w:t xml:space="preserve"> other than through a</w:t>
      </w:r>
      <w:r w:rsidR="002809C9" w:rsidRPr="1540DD9B">
        <w:rPr>
          <w:lang w:eastAsia="en-GB"/>
        </w:rPr>
        <w:t>n</w:t>
      </w:r>
      <w:r w:rsidR="00F662E1" w:rsidRPr="1540DD9B">
        <w:rPr>
          <w:lang w:eastAsia="en-GB"/>
        </w:rPr>
        <w:t xml:space="preserve"> authorised </w:t>
      </w:r>
      <w:r w:rsidR="002624A4" w:rsidRPr="1540DD9B">
        <w:rPr>
          <w:lang w:eastAsia="en-GB"/>
        </w:rPr>
        <w:t>lawyer.</w:t>
      </w:r>
      <w:r w:rsidR="00920135" w:rsidRPr="1540DD9B">
        <w:rPr>
          <w:lang w:eastAsia="en-GB"/>
        </w:rPr>
        <w:t xml:space="preserve"> </w:t>
      </w:r>
    </w:p>
    <w:p w14:paraId="7DABC96B" w14:textId="51880037" w:rsidR="0019044F" w:rsidRPr="005C6D95" w:rsidRDefault="005C6D95" w:rsidP="00EA0C29">
      <w:pPr>
        <w:pStyle w:val="ParaLevel1"/>
        <w:numPr>
          <w:ilvl w:val="0"/>
          <w:numId w:val="0"/>
        </w:numPr>
        <w:rPr>
          <w:i/>
          <w:iCs/>
          <w:lang w:eastAsia="en-GB"/>
        </w:rPr>
      </w:pPr>
      <w:r>
        <w:rPr>
          <w:i/>
          <w:iCs/>
          <w:lang w:eastAsia="en-GB"/>
        </w:rPr>
        <w:t>Nullity and Abuse of Process</w:t>
      </w:r>
    </w:p>
    <w:p w14:paraId="60EEC001" w14:textId="7030D2A6" w:rsidR="0019044F" w:rsidRDefault="00066209" w:rsidP="00EA0C29">
      <w:pPr>
        <w:pStyle w:val="ParaLevel1"/>
        <w:rPr>
          <w:lang w:eastAsia="en-GB"/>
        </w:rPr>
      </w:pPr>
      <w:r w:rsidRPr="1540DD9B">
        <w:rPr>
          <w:lang w:eastAsia="en-GB"/>
        </w:rPr>
        <w:t>We are satisfied that the judge was correct in his conclusion on these issues.</w:t>
      </w:r>
      <w:r w:rsidR="00A01356" w:rsidRPr="1540DD9B">
        <w:rPr>
          <w:lang w:eastAsia="en-GB"/>
        </w:rPr>
        <w:t xml:space="preserve"> We deal with them briefly.</w:t>
      </w:r>
    </w:p>
    <w:p w14:paraId="40E6B3FF" w14:textId="2D26ACF2" w:rsidR="00066209" w:rsidRDefault="005E5901" w:rsidP="00EA0C29">
      <w:pPr>
        <w:pStyle w:val="ParaLevel1"/>
        <w:rPr>
          <w:lang w:eastAsia="en-GB"/>
        </w:rPr>
      </w:pPr>
      <w:r w:rsidRPr="1540DD9B">
        <w:rPr>
          <w:lang w:eastAsia="en-GB"/>
        </w:rPr>
        <w:t xml:space="preserve">The proceedings </w:t>
      </w:r>
      <w:bookmarkStart w:id="63" w:name="_Int_wP34HaSE"/>
      <w:r w:rsidRPr="1540DD9B">
        <w:rPr>
          <w:lang w:eastAsia="en-GB"/>
        </w:rPr>
        <w:t>as a whole could</w:t>
      </w:r>
      <w:bookmarkEnd w:id="63"/>
      <w:r w:rsidRPr="1540DD9B">
        <w:rPr>
          <w:lang w:eastAsia="en-GB"/>
        </w:rPr>
        <w:t xml:space="preserve"> not be said to be a nullity</w:t>
      </w:r>
      <w:r w:rsidR="67D36272" w:rsidRPr="1540DD9B">
        <w:rPr>
          <w:lang w:eastAsia="en-GB"/>
        </w:rPr>
        <w:t xml:space="preserve">. </w:t>
      </w:r>
      <w:r w:rsidR="00F816E8" w:rsidRPr="1540DD9B">
        <w:rPr>
          <w:lang w:eastAsia="en-GB"/>
        </w:rPr>
        <w:t>The conduct of the proceedings i</w:t>
      </w:r>
      <w:r w:rsidR="004667CA" w:rsidRPr="1540DD9B">
        <w:rPr>
          <w:lang w:eastAsia="en-GB"/>
        </w:rPr>
        <w:t>n the Magistrates’ Court were unimpeachable</w:t>
      </w:r>
      <w:r w:rsidR="7E28A8C2" w:rsidRPr="1540DD9B">
        <w:rPr>
          <w:lang w:eastAsia="en-GB"/>
        </w:rPr>
        <w:t xml:space="preserve">. </w:t>
      </w:r>
      <w:r w:rsidR="004667CA" w:rsidRPr="1540DD9B">
        <w:rPr>
          <w:lang w:eastAsia="en-GB"/>
        </w:rPr>
        <w:t>They were transferred to the Crown Court in an orthodox way</w:t>
      </w:r>
      <w:r w:rsidR="00DF2C9E" w:rsidRPr="1540DD9B">
        <w:rPr>
          <w:lang w:eastAsia="en-GB"/>
        </w:rPr>
        <w:t xml:space="preserve"> from the Magistrates’ Court and had a life there before any formal steps were taken </w:t>
      </w:r>
      <w:r w:rsidR="007F43D7" w:rsidRPr="1540DD9B">
        <w:rPr>
          <w:lang w:eastAsia="en-GB"/>
        </w:rPr>
        <w:t xml:space="preserve">by York. </w:t>
      </w:r>
    </w:p>
    <w:p w14:paraId="1F89C432" w14:textId="75D97653" w:rsidR="004E4589" w:rsidRDefault="00585B4B" w:rsidP="00EA0C29">
      <w:pPr>
        <w:pStyle w:val="ParaLevel1"/>
        <w:rPr>
          <w:lang w:eastAsia="en-GB"/>
        </w:rPr>
      </w:pPr>
      <w:r>
        <w:rPr>
          <w:lang w:eastAsia="en-GB"/>
        </w:rPr>
        <w:lastRenderedPageBreak/>
        <w:t xml:space="preserve">The question whether a failure to comply with statutory </w:t>
      </w:r>
      <w:r w:rsidR="001F6716">
        <w:rPr>
          <w:lang w:eastAsia="en-GB"/>
        </w:rPr>
        <w:t>requirements renders what had been done invalid and of no effect is a question of statutory construction</w:t>
      </w:r>
      <w:r w:rsidR="00D55E7F">
        <w:rPr>
          <w:lang w:eastAsia="en-GB"/>
        </w:rPr>
        <w:t xml:space="preserve">: see </w:t>
      </w:r>
      <w:r w:rsidR="00D55E7F" w:rsidRPr="1540DD9B">
        <w:rPr>
          <w:i/>
          <w:iCs/>
          <w:lang w:eastAsia="en-GB"/>
        </w:rPr>
        <w:t>R v</w:t>
      </w:r>
      <w:r w:rsidR="001E174E" w:rsidRPr="1540DD9B">
        <w:rPr>
          <w:i/>
          <w:iCs/>
          <w:lang w:eastAsia="en-GB"/>
        </w:rPr>
        <w:t>.</w:t>
      </w:r>
      <w:r w:rsidR="00D55E7F" w:rsidRPr="1540DD9B">
        <w:rPr>
          <w:i/>
          <w:iCs/>
          <w:lang w:eastAsia="en-GB"/>
        </w:rPr>
        <w:t xml:space="preserve"> Soneji</w:t>
      </w:r>
      <w:r w:rsidR="00BA0E53" w:rsidRPr="1540DD9B">
        <w:rPr>
          <w:i/>
          <w:iCs/>
          <w:lang w:eastAsia="en-GB"/>
        </w:rPr>
        <w:t xml:space="preserve"> </w:t>
      </w:r>
      <w:r w:rsidR="00C813A3">
        <w:rPr>
          <w:lang w:eastAsia="en-GB"/>
        </w:rPr>
        <w:t>[2006] 1 AC 340</w:t>
      </w:r>
      <w:r w:rsidR="5FF94D3B">
        <w:rPr>
          <w:lang w:eastAsia="en-GB"/>
        </w:rPr>
        <w:t xml:space="preserve">. </w:t>
      </w:r>
      <w:r w:rsidR="00C813A3">
        <w:rPr>
          <w:lang w:eastAsia="en-GB"/>
        </w:rPr>
        <w:t>There is no express provision in the LSA 2007 which</w:t>
      </w:r>
      <w:r w:rsidR="00324A13">
        <w:rPr>
          <w:lang w:eastAsia="en-GB"/>
        </w:rPr>
        <w:t xml:space="preserve"> </w:t>
      </w:r>
      <w:r w:rsidR="00C813A3">
        <w:rPr>
          <w:lang w:eastAsia="en-GB"/>
        </w:rPr>
        <w:t xml:space="preserve">speaks of the consequence </w:t>
      </w:r>
      <w:bookmarkStart w:id="64" w:name="_Int_7MWzaMxj"/>
      <w:r w:rsidR="00C813A3">
        <w:rPr>
          <w:lang w:eastAsia="en-GB"/>
        </w:rPr>
        <w:t>so far as</w:t>
      </w:r>
      <w:bookmarkEnd w:id="64"/>
      <w:r w:rsidR="00C813A3">
        <w:rPr>
          <w:lang w:eastAsia="en-GB"/>
        </w:rPr>
        <w:t xml:space="preserve"> the litigation itself is concerned</w:t>
      </w:r>
      <w:r w:rsidR="00324A13">
        <w:rPr>
          <w:lang w:eastAsia="en-GB"/>
        </w:rPr>
        <w:t xml:space="preserve"> if it is conducted (or parts of it are conducted)</w:t>
      </w:r>
      <w:r w:rsidR="00CB082C">
        <w:rPr>
          <w:lang w:eastAsia="en-GB"/>
        </w:rPr>
        <w:t xml:space="preserve"> by someone who </w:t>
      </w:r>
      <w:r w:rsidR="33859C93">
        <w:rPr>
          <w:lang w:eastAsia="en-GB"/>
        </w:rPr>
        <w:t>i</w:t>
      </w:r>
      <w:r w:rsidR="00CB082C">
        <w:rPr>
          <w:lang w:eastAsia="en-GB"/>
        </w:rPr>
        <w:t>s neither authorised nor exempt</w:t>
      </w:r>
      <w:r w:rsidR="005D32BD">
        <w:rPr>
          <w:lang w:eastAsia="en-GB"/>
        </w:rPr>
        <w:t xml:space="preserve"> for the purposes of </w:t>
      </w:r>
      <w:r w:rsidR="00CB082C">
        <w:rPr>
          <w:lang w:eastAsia="en-GB"/>
        </w:rPr>
        <w:t>that statute.</w:t>
      </w:r>
      <w:r w:rsidR="00B077DE">
        <w:rPr>
          <w:lang w:eastAsia="en-GB"/>
        </w:rPr>
        <w:t xml:space="preserve"> </w:t>
      </w:r>
    </w:p>
    <w:p w14:paraId="57F3D4BF" w14:textId="3B99FF0B" w:rsidR="00E53716" w:rsidRDefault="008F4951" w:rsidP="00EA0C29">
      <w:pPr>
        <w:pStyle w:val="ParaLevel1"/>
        <w:rPr>
          <w:lang w:eastAsia="en-GB"/>
        </w:rPr>
      </w:pPr>
      <w:r w:rsidRPr="1540DD9B">
        <w:rPr>
          <w:lang w:eastAsia="en-GB"/>
        </w:rPr>
        <w:t xml:space="preserve">In </w:t>
      </w:r>
      <w:r w:rsidRPr="1540DD9B">
        <w:rPr>
          <w:i/>
          <w:iCs/>
          <w:lang w:eastAsia="en-GB"/>
        </w:rPr>
        <w:t>Ndole Assets Ltd v</w:t>
      </w:r>
      <w:r w:rsidR="001E174E" w:rsidRPr="1540DD9B">
        <w:rPr>
          <w:i/>
          <w:iCs/>
          <w:lang w:eastAsia="en-GB"/>
        </w:rPr>
        <w:t>.</w:t>
      </w:r>
      <w:r w:rsidRPr="1540DD9B">
        <w:rPr>
          <w:i/>
          <w:iCs/>
          <w:lang w:eastAsia="en-GB"/>
        </w:rPr>
        <w:t xml:space="preserve"> Designer M</w:t>
      </w:r>
      <w:r w:rsidR="00053994" w:rsidRPr="1540DD9B">
        <w:rPr>
          <w:i/>
          <w:iCs/>
          <w:lang w:eastAsia="en-GB"/>
        </w:rPr>
        <w:t xml:space="preserve">&amp;E Services UK Ltd </w:t>
      </w:r>
      <w:r w:rsidR="00B11260" w:rsidRPr="1540DD9B">
        <w:rPr>
          <w:lang w:eastAsia="en-GB"/>
        </w:rPr>
        <w:t>[2018] EWCA Civ 2865</w:t>
      </w:r>
      <w:r w:rsidR="00803EA0" w:rsidRPr="1540DD9B">
        <w:rPr>
          <w:lang w:eastAsia="en-GB"/>
        </w:rPr>
        <w:t xml:space="preserve"> the issue arose</w:t>
      </w:r>
      <w:r w:rsidR="00511E69" w:rsidRPr="1540DD9B">
        <w:rPr>
          <w:lang w:eastAsia="en-GB"/>
        </w:rPr>
        <w:t xml:space="preserve"> in the context of the service of </w:t>
      </w:r>
      <w:r w:rsidR="40393879" w:rsidRPr="1540DD9B">
        <w:rPr>
          <w:lang w:eastAsia="en-GB"/>
        </w:rPr>
        <w:t xml:space="preserve">a </w:t>
      </w:r>
      <w:r w:rsidR="00511E69" w:rsidRPr="1540DD9B">
        <w:rPr>
          <w:lang w:eastAsia="en-GB"/>
        </w:rPr>
        <w:t>claim form in civil proceedings</w:t>
      </w:r>
      <w:r w:rsidR="00B12667" w:rsidRPr="1540DD9B">
        <w:rPr>
          <w:lang w:eastAsia="en-GB"/>
        </w:rPr>
        <w:t xml:space="preserve"> by somebody who was not an authorised person to conduct litigation.</w:t>
      </w:r>
      <w:r w:rsidR="00020CB2" w:rsidRPr="1540DD9B">
        <w:rPr>
          <w:lang w:eastAsia="en-GB"/>
        </w:rPr>
        <w:t xml:space="preserve"> Having decided that the </w:t>
      </w:r>
      <w:r w:rsidR="005E7482" w:rsidRPr="1540DD9B">
        <w:rPr>
          <w:lang w:eastAsia="en-GB"/>
        </w:rPr>
        <w:t>service of a claim form was a reserved legal activity</w:t>
      </w:r>
      <w:r w:rsidR="00351493" w:rsidRPr="1540DD9B">
        <w:rPr>
          <w:lang w:eastAsia="en-GB"/>
        </w:rPr>
        <w:t xml:space="preserve"> </w:t>
      </w:r>
      <w:r w:rsidR="00483FA9" w:rsidRPr="1540DD9B">
        <w:rPr>
          <w:lang w:eastAsia="en-GB"/>
        </w:rPr>
        <w:t>the C</w:t>
      </w:r>
      <w:r w:rsidR="002A7E26" w:rsidRPr="1540DD9B">
        <w:rPr>
          <w:lang w:eastAsia="en-GB"/>
        </w:rPr>
        <w:t xml:space="preserve">ourt </w:t>
      </w:r>
      <w:r w:rsidR="00483FA9" w:rsidRPr="1540DD9B">
        <w:rPr>
          <w:lang w:eastAsia="en-GB"/>
        </w:rPr>
        <w:t xml:space="preserve">of Appeal </w:t>
      </w:r>
      <w:r w:rsidR="002A7E26" w:rsidRPr="1540DD9B">
        <w:rPr>
          <w:lang w:eastAsia="en-GB"/>
        </w:rPr>
        <w:t>dealt with arguments about the consequences. At [76] Davis LJ, with whom</w:t>
      </w:r>
      <w:r w:rsidR="007A182F" w:rsidRPr="1540DD9B">
        <w:rPr>
          <w:lang w:eastAsia="en-GB"/>
        </w:rPr>
        <w:t xml:space="preserve"> McCombe LJ and Jackson LJ agreed, </w:t>
      </w:r>
      <w:r w:rsidR="00604870" w:rsidRPr="1540DD9B">
        <w:rPr>
          <w:lang w:eastAsia="en-GB"/>
        </w:rPr>
        <w:t xml:space="preserve">considered the terms and scheme of the LSA </w:t>
      </w:r>
      <w:bookmarkStart w:id="65" w:name="_Int_OpJ1wGFx"/>
      <w:r w:rsidR="00604870" w:rsidRPr="1540DD9B">
        <w:rPr>
          <w:lang w:eastAsia="en-GB"/>
        </w:rPr>
        <w:t>2007</w:t>
      </w:r>
      <w:bookmarkEnd w:id="65"/>
      <w:r w:rsidR="00604870" w:rsidRPr="1540DD9B">
        <w:rPr>
          <w:lang w:eastAsia="en-GB"/>
        </w:rPr>
        <w:t xml:space="preserve"> and </w:t>
      </w:r>
      <w:r w:rsidR="007A182F" w:rsidRPr="1540DD9B">
        <w:rPr>
          <w:lang w:eastAsia="en-GB"/>
        </w:rPr>
        <w:t>explained that “nullity was not to be taken as the statutorily intended consequence</w:t>
      </w:r>
      <w:r w:rsidR="00472CE3" w:rsidRPr="1540DD9B">
        <w:rPr>
          <w:lang w:eastAsia="en-GB"/>
        </w:rPr>
        <w:t>.</w:t>
      </w:r>
      <w:r w:rsidR="007A182F" w:rsidRPr="1540DD9B">
        <w:rPr>
          <w:lang w:eastAsia="en-GB"/>
        </w:rPr>
        <w:t>”</w:t>
      </w:r>
      <w:r w:rsidR="004E4589" w:rsidRPr="1540DD9B">
        <w:rPr>
          <w:lang w:eastAsia="en-GB"/>
        </w:rPr>
        <w:t xml:space="preserve"> Mr </w:t>
      </w:r>
      <w:r w:rsidR="00A1571C" w:rsidRPr="1540DD9B">
        <w:rPr>
          <w:lang w:eastAsia="en-GB"/>
        </w:rPr>
        <w:t>Ashley</w:t>
      </w:r>
      <w:r w:rsidR="007860D3">
        <w:rPr>
          <w:lang w:eastAsia="en-GB"/>
        </w:rPr>
        <w:t>-</w:t>
      </w:r>
      <w:r w:rsidR="00A1571C" w:rsidRPr="1540DD9B">
        <w:rPr>
          <w:lang w:eastAsia="en-GB"/>
        </w:rPr>
        <w:t xml:space="preserve">Norman invited us to distinguish this authority on the basis that it concerned civil and not criminal litigation. </w:t>
      </w:r>
      <w:r w:rsidR="00C05585" w:rsidRPr="1540DD9B">
        <w:rPr>
          <w:lang w:eastAsia="en-GB"/>
        </w:rPr>
        <w:t>But the LSA 2007 does not distinguish between civil and criminal litigation</w:t>
      </w:r>
      <w:r w:rsidR="009E22BF" w:rsidRPr="1540DD9B">
        <w:rPr>
          <w:lang w:eastAsia="en-GB"/>
        </w:rPr>
        <w:t xml:space="preserve"> in this respect</w:t>
      </w:r>
      <w:r w:rsidR="004A3B18" w:rsidRPr="1540DD9B">
        <w:rPr>
          <w:lang w:eastAsia="en-GB"/>
        </w:rPr>
        <w:t>. T</w:t>
      </w:r>
      <w:r w:rsidR="009E22BF" w:rsidRPr="1540DD9B">
        <w:rPr>
          <w:lang w:eastAsia="en-GB"/>
        </w:rPr>
        <w:t>he reasoning of the Court of Appeal, by which we are bound and</w:t>
      </w:r>
      <w:r w:rsidR="0CC502C9" w:rsidRPr="1540DD9B">
        <w:rPr>
          <w:lang w:eastAsia="en-GB"/>
        </w:rPr>
        <w:t>,</w:t>
      </w:r>
      <w:r w:rsidR="009E22BF" w:rsidRPr="1540DD9B">
        <w:rPr>
          <w:lang w:eastAsia="en-GB"/>
        </w:rPr>
        <w:t xml:space="preserve"> in any even</w:t>
      </w:r>
      <w:r w:rsidR="1646BCAF" w:rsidRPr="1540DD9B">
        <w:rPr>
          <w:lang w:eastAsia="en-GB"/>
        </w:rPr>
        <w:t>t</w:t>
      </w:r>
      <w:r w:rsidR="1FBC0BF4" w:rsidRPr="1540DD9B">
        <w:rPr>
          <w:lang w:eastAsia="en-GB"/>
        </w:rPr>
        <w:t>,</w:t>
      </w:r>
      <w:r w:rsidR="009E22BF" w:rsidRPr="1540DD9B">
        <w:rPr>
          <w:lang w:eastAsia="en-GB"/>
        </w:rPr>
        <w:t xml:space="preserve"> resp</w:t>
      </w:r>
      <w:r w:rsidR="00F85903" w:rsidRPr="1540DD9B">
        <w:rPr>
          <w:lang w:eastAsia="en-GB"/>
        </w:rPr>
        <w:t>ec</w:t>
      </w:r>
      <w:r w:rsidR="009E22BF" w:rsidRPr="1540DD9B">
        <w:rPr>
          <w:lang w:eastAsia="en-GB"/>
        </w:rPr>
        <w:t>tfully agree</w:t>
      </w:r>
      <w:r w:rsidR="00F85903" w:rsidRPr="1540DD9B">
        <w:rPr>
          <w:lang w:eastAsia="en-GB"/>
        </w:rPr>
        <w:t>, applies</w:t>
      </w:r>
      <w:r w:rsidR="2333500E" w:rsidRPr="1540DD9B">
        <w:rPr>
          <w:lang w:eastAsia="en-GB"/>
        </w:rPr>
        <w:t xml:space="preserve">. </w:t>
      </w:r>
      <w:r w:rsidR="00F85903" w:rsidRPr="1540DD9B">
        <w:rPr>
          <w:lang w:eastAsia="en-GB"/>
        </w:rPr>
        <w:t xml:space="preserve">The fact that litigation is conducted on behalf of a party </w:t>
      </w:r>
      <w:r w:rsidR="006C41F6" w:rsidRPr="1540DD9B">
        <w:rPr>
          <w:lang w:eastAsia="en-GB"/>
        </w:rPr>
        <w:t>by a person who is neither authorised nor exe</w:t>
      </w:r>
      <w:r w:rsidR="000373D6" w:rsidRPr="1540DD9B">
        <w:rPr>
          <w:lang w:eastAsia="en-GB"/>
        </w:rPr>
        <w:t>m</w:t>
      </w:r>
      <w:r w:rsidR="006C41F6" w:rsidRPr="1540DD9B">
        <w:rPr>
          <w:lang w:eastAsia="en-GB"/>
        </w:rPr>
        <w:t xml:space="preserve">pt does not render the proceedings </w:t>
      </w:r>
      <w:bookmarkStart w:id="66" w:name="_Int_Anu8mizd"/>
      <w:r w:rsidR="006C41F6" w:rsidRPr="1540DD9B">
        <w:rPr>
          <w:lang w:eastAsia="en-GB"/>
        </w:rPr>
        <w:t>a</w:t>
      </w:r>
      <w:r w:rsidR="0035312A" w:rsidRPr="1540DD9B">
        <w:rPr>
          <w:lang w:eastAsia="en-GB"/>
        </w:rPr>
        <w:t>s a whole a</w:t>
      </w:r>
      <w:bookmarkEnd w:id="66"/>
      <w:r w:rsidR="006C41F6" w:rsidRPr="1540DD9B">
        <w:rPr>
          <w:lang w:eastAsia="en-GB"/>
        </w:rPr>
        <w:t xml:space="preserve"> nullity or invalidate </w:t>
      </w:r>
      <w:r w:rsidR="00E53716" w:rsidRPr="1540DD9B">
        <w:rPr>
          <w:lang w:eastAsia="en-GB"/>
        </w:rPr>
        <w:t>steps taken which fall within the definition of “conduct of litigation</w:t>
      </w:r>
      <w:bookmarkStart w:id="67" w:name="_Int_ha0NxglZ"/>
      <w:r w:rsidR="00E53716" w:rsidRPr="1540DD9B">
        <w:rPr>
          <w:lang w:eastAsia="en-GB"/>
        </w:rPr>
        <w:t>”.</w:t>
      </w:r>
      <w:bookmarkEnd w:id="67"/>
    </w:p>
    <w:p w14:paraId="058D5D27" w14:textId="6003CC6A" w:rsidR="00585B4B" w:rsidRDefault="000C0B6D" w:rsidP="00EA0C29">
      <w:pPr>
        <w:pStyle w:val="ParaLevel1"/>
        <w:rPr>
          <w:lang w:eastAsia="en-GB"/>
        </w:rPr>
      </w:pPr>
      <w:r w:rsidRPr="1540DD9B">
        <w:rPr>
          <w:lang w:eastAsia="en-GB"/>
        </w:rPr>
        <w:t xml:space="preserve">At [78] Davis LJ referred to the judgment </w:t>
      </w:r>
      <w:r w:rsidR="00142A98" w:rsidRPr="1540DD9B">
        <w:rPr>
          <w:lang w:eastAsia="en-GB"/>
        </w:rPr>
        <w:t xml:space="preserve">of Thomas J in </w:t>
      </w:r>
      <w:r w:rsidR="00142A98" w:rsidRPr="1540DD9B">
        <w:rPr>
          <w:i/>
          <w:iCs/>
          <w:lang w:eastAsia="en-GB"/>
        </w:rPr>
        <w:t xml:space="preserve">Crescent Oil and Shipping Services Ltd v. Importing UEE </w:t>
      </w:r>
      <w:r w:rsidR="671700C8" w:rsidRPr="1540DD9B">
        <w:rPr>
          <w:lang w:eastAsia="en-GB"/>
        </w:rPr>
        <w:t>[</w:t>
      </w:r>
      <w:r w:rsidR="00142A98" w:rsidRPr="1540DD9B">
        <w:rPr>
          <w:lang w:eastAsia="en-GB"/>
        </w:rPr>
        <w:t>1998</w:t>
      </w:r>
      <w:r w:rsidR="6D5FEF8B" w:rsidRPr="1540DD9B">
        <w:rPr>
          <w:lang w:eastAsia="en-GB"/>
        </w:rPr>
        <w:t>]</w:t>
      </w:r>
      <w:r w:rsidR="00516100" w:rsidRPr="1540DD9B">
        <w:rPr>
          <w:lang w:eastAsia="en-GB"/>
        </w:rPr>
        <w:t xml:space="preserve"> 1 WLR 919</w:t>
      </w:r>
      <w:r w:rsidR="00CC8E77" w:rsidRPr="1540DD9B">
        <w:rPr>
          <w:lang w:eastAsia="en-GB"/>
        </w:rPr>
        <w:t xml:space="preserve">. </w:t>
      </w:r>
      <w:r w:rsidR="00516100" w:rsidRPr="1540DD9B">
        <w:rPr>
          <w:lang w:eastAsia="en-GB"/>
        </w:rPr>
        <w:t>That concerned a writ which had been issued and served other than by a solicitor</w:t>
      </w:r>
      <w:r w:rsidR="0031766B" w:rsidRPr="1540DD9B">
        <w:rPr>
          <w:lang w:eastAsia="en-GB"/>
        </w:rPr>
        <w:t>, as required by the</w:t>
      </w:r>
      <w:r w:rsidR="0035312A" w:rsidRPr="1540DD9B">
        <w:rPr>
          <w:lang w:eastAsia="en-GB"/>
        </w:rPr>
        <w:t xml:space="preserve"> then</w:t>
      </w:r>
      <w:r w:rsidR="0031766B" w:rsidRPr="1540DD9B">
        <w:rPr>
          <w:lang w:eastAsia="en-GB"/>
        </w:rPr>
        <w:t xml:space="preserve"> Rules of the Supreme Court</w:t>
      </w:r>
      <w:r w:rsidR="00516100" w:rsidRPr="1540DD9B">
        <w:rPr>
          <w:lang w:eastAsia="en-GB"/>
        </w:rPr>
        <w:t>. Thomas J</w:t>
      </w:r>
      <w:r w:rsidR="003363FF" w:rsidRPr="1540DD9B">
        <w:rPr>
          <w:lang w:eastAsia="en-GB"/>
        </w:rPr>
        <w:t xml:space="preserve"> rejected the </w:t>
      </w:r>
      <w:r w:rsidR="00E05D8F" w:rsidRPr="1540DD9B">
        <w:rPr>
          <w:lang w:eastAsia="en-GB"/>
        </w:rPr>
        <w:t>argument that the service was a nullity</w:t>
      </w:r>
      <w:r w:rsidR="00F0015D">
        <w:rPr>
          <w:lang w:eastAsia="en-GB"/>
        </w:rPr>
        <w:t>.</w:t>
      </w:r>
      <w:r w:rsidR="0035312A" w:rsidRPr="1540DD9B">
        <w:rPr>
          <w:lang w:eastAsia="en-GB"/>
        </w:rPr>
        <w:t xml:space="preserve"> He concluded </w:t>
      </w:r>
      <w:r w:rsidR="00E05D8F" w:rsidRPr="1540DD9B">
        <w:rPr>
          <w:lang w:eastAsia="en-GB"/>
        </w:rPr>
        <w:t>that because there had been an irregularity</w:t>
      </w:r>
      <w:r w:rsidR="00C55745" w:rsidRPr="1540DD9B">
        <w:rPr>
          <w:lang w:eastAsia="en-GB"/>
        </w:rPr>
        <w:t>,</w:t>
      </w:r>
      <w:r w:rsidR="000E2903" w:rsidRPr="1540DD9B">
        <w:rPr>
          <w:lang w:eastAsia="en-GB"/>
        </w:rPr>
        <w:t xml:space="preserve"> consideration should be given to setting service aside. </w:t>
      </w:r>
      <w:r w:rsidR="00335F19" w:rsidRPr="1540DD9B">
        <w:rPr>
          <w:lang w:eastAsia="en-GB"/>
        </w:rPr>
        <w:t>Davis LJ adopted the same approach</w:t>
      </w:r>
      <w:r w:rsidR="0031766B" w:rsidRPr="1540DD9B">
        <w:rPr>
          <w:lang w:eastAsia="en-GB"/>
        </w:rPr>
        <w:t xml:space="preserve"> to the issue </w:t>
      </w:r>
      <w:r w:rsidR="00B95E25" w:rsidRPr="1540DD9B">
        <w:rPr>
          <w:lang w:eastAsia="en-GB"/>
        </w:rPr>
        <w:t xml:space="preserve">under consideration in </w:t>
      </w:r>
      <w:r w:rsidR="00B95E25" w:rsidRPr="1540DD9B">
        <w:rPr>
          <w:i/>
          <w:iCs/>
          <w:lang w:eastAsia="en-GB"/>
        </w:rPr>
        <w:t>Ndole</w:t>
      </w:r>
      <w:r w:rsidR="003C35EA" w:rsidRPr="1540DD9B">
        <w:rPr>
          <w:i/>
          <w:iCs/>
          <w:lang w:eastAsia="en-GB"/>
        </w:rPr>
        <w:t xml:space="preserve"> </w:t>
      </w:r>
      <w:r w:rsidR="00B95E25" w:rsidRPr="1540DD9B">
        <w:rPr>
          <w:i/>
          <w:iCs/>
          <w:lang w:eastAsia="en-GB"/>
        </w:rPr>
        <w:t>Assets</w:t>
      </w:r>
      <w:r w:rsidR="00B95E25" w:rsidRPr="1540DD9B">
        <w:rPr>
          <w:lang w:eastAsia="en-GB"/>
        </w:rPr>
        <w:t xml:space="preserve">. </w:t>
      </w:r>
      <w:r w:rsidR="00444F93" w:rsidRPr="1540DD9B">
        <w:rPr>
          <w:lang w:eastAsia="en-GB"/>
        </w:rPr>
        <w:t>In civil proceedings setting aside service of a</w:t>
      </w:r>
      <w:r w:rsidR="00D94B4F" w:rsidRPr="1540DD9B">
        <w:rPr>
          <w:lang w:eastAsia="en-GB"/>
        </w:rPr>
        <w:t xml:space="preserve"> claim form</w:t>
      </w:r>
      <w:r w:rsidR="00B95E25" w:rsidRPr="1540DD9B">
        <w:rPr>
          <w:lang w:eastAsia="en-GB"/>
        </w:rPr>
        <w:t xml:space="preserve"> </w:t>
      </w:r>
      <w:r w:rsidR="00D94B4F" w:rsidRPr="1540DD9B">
        <w:rPr>
          <w:lang w:eastAsia="en-GB"/>
        </w:rPr>
        <w:t>might well</w:t>
      </w:r>
      <w:r w:rsidR="00102F4E" w:rsidRPr="1540DD9B">
        <w:rPr>
          <w:lang w:eastAsia="en-GB"/>
        </w:rPr>
        <w:t xml:space="preserve"> deprive the litigant </w:t>
      </w:r>
      <w:r w:rsidR="00690524" w:rsidRPr="1540DD9B">
        <w:rPr>
          <w:lang w:eastAsia="en-GB"/>
        </w:rPr>
        <w:t>of the opportunity to pursue a claim</w:t>
      </w:r>
      <w:r w:rsidR="00D94B4F" w:rsidRPr="1540DD9B">
        <w:rPr>
          <w:lang w:eastAsia="en-GB"/>
        </w:rPr>
        <w:t xml:space="preserve"> </w:t>
      </w:r>
      <w:r w:rsidR="00102F4E" w:rsidRPr="1540DD9B">
        <w:rPr>
          <w:lang w:eastAsia="en-GB"/>
        </w:rPr>
        <w:t>because of the operation of the Limitation Acts</w:t>
      </w:r>
      <w:r w:rsidR="00647C17" w:rsidRPr="1540DD9B">
        <w:rPr>
          <w:lang w:eastAsia="en-GB"/>
        </w:rPr>
        <w:t>, as it would have done in that case.</w:t>
      </w:r>
      <w:r w:rsidR="00B4076D" w:rsidRPr="1540DD9B">
        <w:rPr>
          <w:lang w:eastAsia="en-GB"/>
        </w:rPr>
        <w:t xml:space="preserve"> The same would not be true in the Crown Court where, subject to an extension of time under the rules, </w:t>
      </w:r>
      <w:bookmarkStart w:id="68" w:name="_Int_g6mWBmUh"/>
      <w:r w:rsidR="00B4076D" w:rsidRPr="1540DD9B">
        <w:rPr>
          <w:lang w:eastAsia="en-GB"/>
        </w:rPr>
        <w:t>an in</w:t>
      </w:r>
      <w:r w:rsidR="00896A62" w:rsidRPr="1540DD9B">
        <w:rPr>
          <w:lang w:eastAsia="en-GB"/>
        </w:rPr>
        <w:t>dictment</w:t>
      </w:r>
      <w:bookmarkEnd w:id="68"/>
      <w:r w:rsidR="00896A62" w:rsidRPr="1540DD9B">
        <w:rPr>
          <w:lang w:eastAsia="en-GB"/>
        </w:rPr>
        <w:t xml:space="preserve"> might be reserved</w:t>
      </w:r>
      <w:r w:rsidR="4EEE4A07" w:rsidRPr="1540DD9B">
        <w:rPr>
          <w:lang w:eastAsia="en-GB"/>
        </w:rPr>
        <w:t xml:space="preserve">. </w:t>
      </w:r>
      <w:r w:rsidR="00FB02D4" w:rsidRPr="1540DD9B">
        <w:rPr>
          <w:lang w:eastAsia="en-GB"/>
        </w:rPr>
        <w:t xml:space="preserve">At </w:t>
      </w:r>
      <w:r w:rsidR="00FC41C8" w:rsidRPr="1540DD9B">
        <w:rPr>
          <w:lang w:eastAsia="en-GB"/>
        </w:rPr>
        <w:t>[</w:t>
      </w:r>
      <w:r w:rsidR="00FB02D4" w:rsidRPr="1540DD9B">
        <w:rPr>
          <w:lang w:eastAsia="en-GB"/>
        </w:rPr>
        <w:t>79</w:t>
      </w:r>
      <w:r w:rsidR="00FC41C8" w:rsidRPr="1540DD9B">
        <w:rPr>
          <w:lang w:eastAsia="en-GB"/>
        </w:rPr>
        <w:t>]</w:t>
      </w:r>
      <w:r w:rsidR="00FB02D4" w:rsidRPr="1540DD9B">
        <w:rPr>
          <w:lang w:eastAsia="en-GB"/>
        </w:rPr>
        <w:t xml:space="preserve"> Davis rejected the </w:t>
      </w:r>
      <w:r w:rsidR="00D54D9E" w:rsidRPr="1540DD9B">
        <w:rPr>
          <w:lang w:eastAsia="en-GB"/>
        </w:rPr>
        <w:t>argument that service should be set aside</w:t>
      </w:r>
      <w:r w:rsidR="00FC41C8" w:rsidRPr="1540DD9B">
        <w:rPr>
          <w:lang w:eastAsia="en-GB"/>
        </w:rPr>
        <w:t xml:space="preserve">. </w:t>
      </w:r>
      <w:r w:rsidR="00DC2EF6" w:rsidRPr="1540DD9B">
        <w:rPr>
          <w:lang w:eastAsia="en-GB"/>
        </w:rPr>
        <w:t>The claimant and those who se</w:t>
      </w:r>
      <w:r w:rsidR="00076778" w:rsidRPr="1540DD9B">
        <w:rPr>
          <w:lang w:eastAsia="en-GB"/>
        </w:rPr>
        <w:t>r</w:t>
      </w:r>
      <w:r w:rsidR="00DC2EF6" w:rsidRPr="1540DD9B">
        <w:rPr>
          <w:lang w:eastAsia="en-GB"/>
        </w:rPr>
        <w:t>ved the claim form had acted in good faith and “to set aside the service would be to confer an uncovena</w:t>
      </w:r>
      <w:r w:rsidR="00076778" w:rsidRPr="1540DD9B">
        <w:rPr>
          <w:lang w:eastAsia="en-GB"/>
        </w:rPr>
        <w:t>nted advantage on the defendan</w:t>
      </w:r>
      <w:r w:rsidR="002F4616" w:rsidRPr="1540DD9B">
        <w:rPr>
          <w:lang w:eastAsia="en-GB"/>
        </w:rPr>
        <w:t>t in circumstances of (in the present case) adventitious technicality.”</w:t>
      </w:r>
    </w:p>
    <w:p w14:paraId="60F95A9C" w14:textId="362AC39A" w:rsidR="00556B5C" w:rsidRDefault="00D51968" w:rsidP="00EA0C29">
      <w:pPr>
        <w:pStyle w:val="ParaLevel1"/>
        <w:rPr>
          <w:lang w:eastAsia="en-GB"/>
        </w:rPr>
      </w:pPr>
      <w:r w:rsidRPr="1540DD9B">
        <w:rPr>
          <w:lang w:eastAsia="en-GB"/>
        </w:rPr>
        <w:t>We</w:t>
      </w:r>
      <w:r w:rsidR="00896A62" w:rsidRPr="1540DD9B">
        <w:rPr>
          <w:lang w:eastAsia="en-GB"/>
        </w:rPr>
        <w:t xml:space="preserve"> will</w:t>
      </w:r>
      <w:r w:rsidRPr="1540DD9B">
        <w:rPr>
          <w:lang w:eastAsia="en-GB"/>
        </w:rPr>
        <w:t xml:space="preserve"> proceed on the assumption that </w:t>
      </w:r>
      <w:r w:rsidR="00583169" w:rsidRPr="1540DD9B">
        <w:rPr>
          <w:lang w:eastAsia="en-GB"/>
        </w:rPr>
        <w:t xml:space="preserve">service of </w:t>
      </w:r>
      <w:bookmarkStart w:id="69" w:name="_Int_gfb2jsd7"/>
      <w:r w:rsidR="00583169" w:rsidRPr="1540DD9B">
        <w:rPr>
          <w:lang w:eastAsia="en-GB"/>
        </w:rPr>
        <w:t>an indictment</w:t>
      </w:r>
      <w:bookmarkEnd w:id="69"/>
      <w:r w:rsidR="00583169" w:rsidRPr="1540DD9B">
        <w:rPr>
          <w:lang w:eastAsia="en-GB"/>
        </w:rPr>
        <w:t xml:space="preserve"> on the officer of the Crown Court</w:t>
      </w:r>
      <w:r w:rsidR="00BF77F1" w:rsidRPr="1540DD9B">
        <w:rPr>
          <w:lang w:eastAsia="en-GB"/>
        </w:rPr>
        <w:t xml:space="preserve"> is an “ancillary step” in the proceedings for the purposes of paragraph </w:t>
      </w:r>
      <w:r w:rsidR="00702CF3" w:rsidRPr="1540DD9B">
        <w:rPr>
          <w:lang w:eastAsia="en-GB"/>
        </w:rPr>
        <w:t>4(c) of schedule 2 to the LSA 2007</w:t>
      </w:r>
      <w:r w:rsidR="005A0D46" w:rsidRPr="1540DD9B">
        <w:rPr>
          <w:lang w:eastAsia="en-GB"/>
        </w:rPr>
        <w:t xml:space="preserve"> and so </w:t>
      </w:r>
      <w:r w:rsidR="00A16B62" w:rsidRPr="1540DD9B">
        <w:rPr>
          <w:lang w:eastAsia="en-GB"/>
        </w:rPr>
        <w:t>should have been served</w:t>
      </w:r>
      <w:r w:rsidR="00556B5C" w:rsidRPr="1540DD9B">
        <w:rPr>
          <w:lang w:eastAsia="en-GB"/>
        </w:rPr>
        <w:t xml:space="preserve"> under the authority of an authorised litigator.</w:t>
      </w:r>
      <w:r w:rsidR="003C63ED" w:rsidRPr="1540DD9B">
        <w:rPr>
          <w:lang w:eastAsia="en-GB"/>
        </w:rPr>
        <w:t xml:space="preserve"> </w:t>
      </w:r>
      <w:r w:rsidR="005031C5" w:rsidRPr="1540DD9B">
        <w:rPr>
          <w:lang w:eastAsia="en-GB"/>
        </w:rPr>
        <w:t xml:space="preserve">The prosecutor, York, served a draft </w:t>
      </w:r>
      <w:bookmarkStart w:id="70" w:name="_Int_1jc2mzRH"/>
      <w:r w:rsidR="00E01BB1" w:rsidRPr="1540DD9B">
        <w:rPr>
          <w:lang w:eastAsia="en-GB"/>
        </w:rPr>
        <w:t>indictment</w:t>
      </w:r>
      <w:bookmarkEnd w:id="70"/>
      <w:r w:rsidR="005031C5" w:rsidRPr="1540DD9B">
        <w:rPr>
          <w:lang w:eastAsia="en-GB"/>
        </w:rPr>
        <w:t xml:space="preserve"> </w:t>
      </w:r>
      <w:r w:rsidR="00E01BB1" w:rsidRPr="1540DD9B">
        <w:rPr>
          <w:lang w:eastAsia="en-GB"/>
        </w:rPr>
        <w:t>a</w:t>
      </w:r>
      <w:r w:rsidR="005031C5" w:rsidRPr="1540DD9B">
        <w:rPr>
          <w:lang w:eastAsia="en-GB"/>
        </w:rPr>
        <w:t>s it was required to do but did so</w:t>
      </w:r>
      <w:r w:rsidR="00E01BB1" w:rsidRPr="1540DD9B">
        <w:rPr>
          <w:lang w:eastAsia="en-GB"/>
        </w:rPr>
        <w:t xml:space="preserve"> using a person, who on this hypothesis, was</w:t>
      </w:r>
      <w:r w:rsidR="00B71F01" w:rsidRPr="1540DD9B">
        <w:rPr>
          <w:lang w:eastAsia="en-GB"/>
        </w:rPr>
        <w:t xml:space="preserve"> not authorised to conduct the litigation on its behalf.</w:t>
      </w:r>
    </w:p>
    <w:p w14:paraId="08ACD1BF" w14:textId="20871A15" w:rsidR="00845BF0" w:rsidRDefault="00556B5C" w:rsidP="00EA0C29">
      <w:pPr>
        <w:pStyle w:val="ParaLevel1"/>
        <w:rPr>
          <w:lang w:eastAsia="en-GB"/>
        </w:rPr>
      </w:pPr>
      <w:r w:rsidRPr="1540DD9B">
        <w:rPr>
          <w:lang w:eastAsia="en-GB"/>
        </w:rPr>
        <w:t xml:space="preserve">The rules relating to the </w:t>
      </w:r>
      <w:bookmarkStart w:id="71" w:name="_Int_LIVxjxTn"/>
      <w:r w:rsidRPr="1540DD9B">
        <w:rPr>
          <w:lang w:eastAsia="en-GB"/>
        </w:rPr>
        <w:t>indictment</w:t>
      </w:r>
      <w:bookmarkEnd w:id="71"/>
      <w:r w:rsidRPr="1540DD9B">
        <w:rPr>
          <w:lang w:eastAsia="en-GB"/>
        </w:rPr>
        <w:t xml:space="preserve"> have evolved in recent years. </w:t>
      </w:r>
      <w:r w:rsidR="00ED3C33" w:rsidRPr="1540DD9B">
        <w:rPr>
          <w:lang w:eastAsia="en-GB"/>
        </w:rPr>
        <w:t>For example, i</w:t>
      </w:r>
      <w:r w:rsidR="00296949" w:rsidRPr="1540DD9B">
        <w:rPr>
          <w:lang w:eastAsia="en-GB"/>
        </w:rPr>
        <w:t xml:space="preserve">t was a requirement that </w:t>
      </w:r>
      <w:r w:rsidR="00014F61" w:rsidRPr="1540DD9B">
        <w:rPr>
          <w:lang w:eastAsia="en-GB"/>
        </w:rPr>
        <w:t xml:space="preserve">the </w:t>
      </w:r>
      <w:bookmarkStart w:id="72" w:name="_Int_0V9jhQSi"/>
      <w:r w:rsidR="00014F61" w:rsidRPr="1540DD9B">
        <w:rPr>
          <w:lang w:eastAsia="en-GB"/>
        </w:rPr>
        <w:t>indictment</w:t>
      </w:r>
      <w:bookmarkEnd w:id="72"/>
      <w:r w:rsidRPr="1540DD9B">
        <w:rPr>
          <w:lang w:eastAsia="en-GB"/>
        </w:rPr>
        <w:t xml:space="preserve"> be</w:t>
      </w:r>
      <w:r w:rsidR="00296949" w:rsidRPr="1540DD9B">
        <w:rPr>
          <w:lang w:eastAsia="en-GB"/>
        </w:rPr>
        <w:t xml:space="preserve"> signed by a court officer</w:t>
      </w:r>
      <w:r w:rsidR="001A6634" w:rsidRPr="1540DD9B">
        <w:rPr>
          <w:lang w:eastAsia="en-GB"/>
        </w:rPr>
        <w:t>. In</w:t>
      </w:r>
      <w:r w:rsidR="00296949" w:rsidRPr="1540DD9B">
        <w:rPr>
          <w:lang w:eastAsia="en-GB"/>
        </w:rPr>
        <w:t xml:space="preserve"> </w:t>
      </w:r>
      <w:r w:rsidR="001A6634" w:rsidRPr="1540DD9B">
        <w:rPr>
          <w:i/>
          <w:iCs/>
          <w:lang w:eastAsia="en-GB"/>
        </w:rPr>
        <w:t xml:space="preserve">R v. Clarke </w:t>
      </w:r>
      <w:r w:rsidR="00672AD7" w:rsidRPr="1540DD9B">
        <w:rPr>
          <w:lang w:eastAsia="en-GB"/>
        </w:rPr>
        <w:t>[2008] 1 WLR 338</w:t>
      </w:r>
      <w:r w:rsidR="00BB1549" w:rsidRPr="1540DD9B">
        <w:rPr>
          <w:lang w:eastAsia="en-GB"/>
        </w:rPr>
        <w:t xml:space="preserve"> the bill of </w:t>
      </w:r>
      <w:bookmarkStart w:id="73" w:name="_Int_ETiOum7m"/>
      <w:r w:rsidR="00BB1549" w:rsidRPr="1540DD9B">
        <w:rPr>
          <w:lang w:eastAsia="en-GB"/>
        </w:rPr>
        <w:t>indictment</w:t>
      </w:r>
      <w:bookmarkEnd w:id="73"/>
      <w:r w:rsidR="00BB1549" w:rsidRPr="1540DD9B">
        <w:rPr>
          <w:lang w:eastAsia="en-GB"/>
        </w:rPr>
        <w:t xml:space="preserve"> </w:t>
      </w:r>
      <w:r w:rsidR="00B100D8" w:rsidRPr="1540DD9B">
        <w:rPr>
          <w:lang w:eastAsia="en-GB"/>
        </w:rPr>
        <w:t>o</w:t>
      </w:r>
      <w:r w:rsidR="00FE014A">
        <w:rPr>
          <w:lang w:eastAsia="en-GB"/>
        </w:rPr>
        <w:t>n</w:t>
      </w:r>
      <w:r w:rsidR="00B100D8" w:rsidRPr="1540DD9B">
        <w:rPr>
          <w:lang w:eastAsia="en-GB"/>
        </w:rPr>
        <w:t xml:space="preserve"> which the defendant was tried </w:t>
      </w:r>
      <w:r w:rsidR="00BB1549" w:rsidRPr="1540DD9B">
        <w:rPr>
          <w:lang w:eastAsia="en-GB"/>
        </w:rPr>
        <w:t>had not been signed</w:t>
      </w:r>
      <w:r w:rsidR="00C97221" w:rsidRPr="1540DD9B">
        <w:rPr>
          <w:lang w:eastAsia="en-GB"/>
        </w:rPr>
        <w:t xml:space="preserve"> before the trial started</w:t>
      </w:r>
      <w:r w:rsidR="008714BD" w:rsidRPr="1540DD9B">
        <w:rPr>
          <w:lang w:eastAsia="en-GB"/>
        </w:rPr>
        <w:t xml:space="preserve"> as required by sections 1 and 2 </w:t>
      </w:r>
      <w:r w:rsidR="005E666D" w:rsidRPr="1540DD9B">
        <w:rPr>
          <w:lang w:eastAsia="en-GB"/>
        </w:rPr>
        <w:t>of the Administration of Justice Act</w:t>
      </w:r>
      <w:r w:rsidR="00E37805" w:rsidRPr="1540DD9B">
        <w:rPr>
          <w:lang w:eastAsia="en-GB"/>
        </w:rPr>
        <w:t xml:space="preserve"> </w:t>
      </w:r>
      <w:r w:rsidR="005E666D" w:rsidRPr="1540DD9B">
        <w:rPr>
          <w:lang w:eastAsia="en-GB"/>
        </w:rPr>
        <w:t>1933</w:t>
      </w:r>
      <w:r w:rsidR="00CA7F4A" w:rsidRPr="1540DD9B">
        <w:rPr>
          <w:lang w:eastAsia="en-GB"/>
        </w:rPr>
        <w:t xml:space="preserve"> (“the 1933 Act”)</w:t>
      </w:r>
      <w:r w:rsidR="008714BD" w:rsidRPr="1540DD9B">
        <w:rPr>
          <w:lang w:eastAsia="en-GB"/>
        </w:rPr>
        <w:t>. The House of Lords decided</w:t>
      </w:r>
      <w:r w:rsidR="00AA66B3" w:rsidRPr="1540DD9B">
        <w:rPr>
          <w:lang w:eastAsia="en-GB"/>
        </w:rPr>
        <w:t xml:space="preserve"> that Parliament intended</w:t>
      </w:r>
      <w:r w:rsidR="007C759D" w:rsidRPr="1540DD9B">
        <w:rPr>
          <w:lang w:eastAsia="en-GB"/>
        </w:rPr>
        <w:t xml:space="preserve"> that the bill of </w:t>
      </w:r>
      <w:bookmarkStart w:id="74" w:name="_Int_KoGzrCb6"/>
      <w:r w:rsidR="007C759D" w:rsidRPr="1540DD9B">
        <w:rPr>
          <w:lang w:eastAsia="en-GB"/>
        </w:rPr>
        <w:t>indictment</w:t>
      </w:r>
      <w:bookmarkEnd w:id="74"/>
      <w:r w:rsidR="007C759D" w:rsidRPr="1540DD9B">
        <w:rPr>
          <w:lang w:eastAsia="en-GB"/>
        </w:rPr>
        <w:t xml:space="preserve"> should not become </w:t>
      </w:r>
      <w:bookmarkStart w:id="75" w:name="_Int_EumuvDUR"/>
      <w:r w:rsidR="007C759D" w:rsidRPr="1540DD9B">
        <w:rPr>
          <w:lang w:eastAsia="en-GB"/>
        </w:rPr>
        <w:t>an indictment</w:t>
      </w:r>
      <w:bookmarkEnd w:id="75"/>
      <w:r w:rsidR="002447DC" w:rsidRPr="1540DD9B">
        <w:rPr>
          <w:lang w:eastAsia="en-GB"/>
        </w:rPr>
        <w:t xml:space="preserve"> unless and until it was duly signed by the proper officer</w:t>
      </w:r>
      <w:r w:rsidR="00102ED3" w:rsidRPr="1540DD9B">
        <w:rPr>
          <w:lang w:eastAsia="en-GB"/>
        </w:rPr>
        <w:t>;</w:t>
      </w:r>
      <w:r w:rsidR="00591E4C" w:rsidRPr="1540DD9B">
        <w:rPr>
          <w:lang w:eastAsia="en-GB"/>
        </w:rPr>
        <w:t xml:space="preserve"> and that there could be no valid trial on </w:t>
      </w:r>
      <w:bookmarkStart w:id="76" w:name="_Int_vDezl3BB"/>
      <w:r w:rsidR="00591E4C" w:rsidRPr="1540DD9B">
        <w:rPr>
          <w:lang w:eastAsia="en-GB"/>
        </w:rPr>
        <w:t>indictment</w:t>
      </w:r>
      <w:bookmarkEnd w:id="76"/>
      <w:r w:rsidR="00591E4C" w:rsidRPr="1540DD9B">
        <w:rPr>
          <w:lang w:eastAsia="en-GB"/>
        </w:rPr>
        <w:t xml:space="preserve"> if there </w:t>
      </w:r>
      <w:r w:rsidR="00591E4C" w:rsidRPr="1540DD9B">
        <w:rPr>
          <w:lang w:eastAsia="en-GB"/>
        </w:rPr>
        <w:lastRenderedPageBreak/>
        <w:t xml:space="preserve">was no </w:t>
      </w:r>
      <w:bookmarkStart w:id="77" w:name="_Int_7jGPng62"/>
      <w:r w:rsidR="00591E4C" w:rsidRPr="1540DD9B">
        <w:rPr>
          <w:lang w:eastAsia="en-GB"/>
        </w:rPr>
        <w:t>indictment</w:t>
      </w:r>
      <w:bookmarkEnd w:id="77"/>
      <w:r w:rsidR="00CA7F4A" w:rsidRPr="1540DD9B">
        <w:rPr>
          <w:lang w:eastAsia="en-GB"/>
        </w:rPr>
        <w:t>: see Lord Bingham of Cornhill at [18] and [19]</w:t>
      </w:r>
      <w:r w:rsidR="170E8C1C" w:rsidRPr="1540DD9B">
        <w:rPr>
          <w:lang w:eastAsia="en-GB"/>
        </w:rPr>
        <w:t xml:space="preserve">. </w:t>
      </w:r>
      <w:r w:rsidR="00102ED3" w:rsidRPr="1540DD9B">
        <w:rPr>
          <w:lang w:eastAsia="en-GB"/>
        </w:rPr>
        <w:t>The 1933 Act was amended by the Coroners and Justice Act 2009 to reverse that decision.</w:t>
      </w:r>
    </w:p>
    <w:p w14:paraId="7AD14025" w14:textId="404C50CC" w:rsidR="004D01A0" w:rsidRDefault="00102ED3" w:rsidP="00EA0C29">
      <w:pPr>
        <w:pStyle w:val="ParaLevel1"/>
        <w:rPr>
          <w:lang w:eastAsia="en-GB"/>
        </w:rPr>
      </w:pPr>
      <w:r w:rsidRPr="1540DD9B">
        <w:rPr>
          <w:lang w:eastAsia="en-GB"/>
        </w:rPr>
        <w:t xml:space="preserve"> </w:t>
      </w:r>
      <w:r w:rsidR="00B71F01" w:rsidRPr="1540DD9B">
        <w:rPr>
          <w:lang w:eastAsia="en-GB"/>
        </w:rPr>
        <w:t>Subsection 2</w:t>
      </w:r>
      <w:r w:rsidR="00AB081B" w:rsidRPr="1540DD9B">
        <w:rPr>
          <w:lang w:eastAsia="en-GB"/>
        </w:rPr>
        <w:t xml:space="preserve"> specifies that “no bill of indictment charging any person with an indictable offence</w:t>
      </w:r>
      <w:r w:rsidR="009132B6" w:rsidRPr="1540DD9B">
        <w:rPr>
          <w:lang w:eastAsia="en-GB"/>
        </w:rPr>
        <w:t xml:space="preserve"> shall be preferred” unless one </w:t>
      </w:r>
      <w:r w:rsidR="00FB1418" w:rsidRPr="1540DD9B">
        <w:rPr>
          <w:lang w:eastAsia="en-GB"/>
        </w:rPr>
        <w:t xml:space="preserve">of </w:t>
      </w:r>
      <w:r w:rsidR="009132B6" w:rsidRPr="1540DD9B">
        <w:rPr>
          <w:lang w:eastAsia="en-GB"/>
        </w:rPr>
        <w:t xml:space="preserve">a series </w:t>
      </w:r>
      <w:r w:rsidR="00FB1418" w:rsidRPr="1540DD9B">
        <w:rPr>
          <w:lang w:eastAsia="en-GB"/>
        </w:rPr>
        <w:t xml:space="preserve">of </w:t>
      </w:r>
      <w:r w:rsidR="00D62095" w:rsidRPr="1540DD9B">
        <w:rPr>
          <w:lang w:eastAsia="en-GB"/>
        </w:rPr>
        <w:t xml:space="preserve">conditions has been met which </w:t>
      </w:r>
      <w:r w:rsidR="009448AA" w:rsidRPr="1540DD9B">
        <w:rPr>
          <w:lang w:eastAsia="en-GB"/>
        </w:rPr>
        <w:t>set</w:t>
      </w:r>
      <w:r w:rsidR="00FB1418" w:rsidRPr="1540DD9B">
        <w:rPr>
          <w:lang w:eastAsia="en-GB"/>
        </w:rPr>
        <w:t>s</w:t>
      </w:r>
      <w:r w:rsidR="009448AA" w:rsidRPr="1540DD9B">
        <w:rPr>
          <w:lang w:eastAsia="en-GB"/>
        </w:rPr>
        <w:t xml:space="preserve"> out the various mechanisms by which a case can reach the Crown Court</w:t>
      </w:r>
      <w:r w:rsidR="00651874" w:rsidRPr="1540DD9B">
        <w:rPr>
          <w:lang w:eastAsia="en-GB"/>
        </w:rPr>
        <w:t>, subject to various provisos</w:t>
      </w:r>
      <w:r w:rsidR="01D394EF" w:rsidRPr="1540DD9B">
        <w:rPr>
          <w:lang w:eastAsia="en-GB"/>
        </w:rPr>
        <w:t xml:space="preserve">. </w:t>
      </w:r>
      <w:r w:rsidR="00651874" w:rsidRPr="1540DD9B">
        <w:rPr>
          <w:lang w:eastAsia="en-GB"/>
        </w:rPr>
        <w:t xml:space="preserve">Subsection 3 states the consequences of a </w:t>
      </w:r>
      <w:r w:rsidR="001B61BB" w:rsidRPr="1540DD9B">
        <w:rPr>
          <w:lang w:eastAsia="en-GB"/>
        </w:rPr>
        <w:t xml:space="preserve">bill of </w:t>
      </w:r>
      <w:bookmarkStart w:id="78" w:name="_Int_ye9u7mEW"/>
      <w:r w:rsidR="001B61BB" w:rsidRPr="1540DD9B">
        <w:rPr>
          <w:lang w:eastAsia="en-GB"/>
        </w:rPr>
        <w:t>indictment</w:t>
      </w:r>
      <w:bookmarkEnd w:id="78"/>
      <w:r w:rsidR="001B61BB" w:rsidRPr="1540DD9B">
        <w:rPr>
          <w:lang w:eastAsia="en-GB"/>
        </w:rPr>
        <w:t xml:space="preserve"> being preferred </w:t>
      </w:r>
      <w:r w:rsidR="00801ECE" w:rsidRPr="1540DD9B">
        <w:rPr>
          <w:lang w:eastAsia="en-GB"/>
        </w:rPr>
        <w:t>otherwise</w:t>
      </w:r>
      <w:r w:rsidR="001B61BB" w:rsidRPr="1540DD9B">
        <w:rPr>
          <w:lang w:eastAsia="en-GB"/>
        </w:rPr>
        <w:t xml:space="preserve"> than in accordance with th</w:t>
      </w:r>
      <w:r w:rsidR="00FB1418" w:rsidRPr="1540DD9B">
        <w:rPr>
          <w:lang w:eastAsia="en-GB"/>
        </w:rPr>
        <w:t>o</w:t>
      </w:r>
      <w:r w:rsidR="001B61BB" w:rsidRPr="1540DD9B">
        <w:rPr>
          <w:lang w:eastAsia="en-GB"/>
        </w:rPr>
        <w:t>se provisions: “The indictment shall be liable to be quashed</w:t>
      </w:r>
      <w:r w:rsidR="00801ECE" w:rsidRPr="1540DD9B">
        <w:rPr>
          <w:lang w:eastAsia="en-GB"/>
        </w:rPr>
        <w:t xml:space="preserve">.” Section 2(6) </w:t>
      </w:r>
      <w:r w:rsidR="006B5E15" w:rsidRPr="1540DD9B">
        <w:rPr>
          <w:lang w:eastAsia="en-GB"/>
        </w:rPr>
        <w:t>enables Criminal Procedure Rules</w:t>
      </w:r>
      <w:r w:rsidR="00D56A90" w:rsidRPr="1540DD9B">
        <w:rPr>
          <w:lang w:eastAsia="en-GB"/>
        </w:rPr>
        <w:t xml:space="preserve"> to “make provision for carrying this section into effect and, in particular, </w:t>
      </w:r>
      <w:r w:rsidR="00DC7736" w:rsidRPr="1540DD9B">
        <w:rPr>
          <w:lang w:eastAsia="en-GB"/>
        </w:rPr>
        <w:t>provision as to the manner in which and the time at which bills of indictment are to be preferred before any court</w:t>
      </w:r>
      <w:r w:rsidR="004D01A0" w:rsidRPr="1540DD9B">
        <w:rPr>
          <w:lang w:eastAsia="en-GB"/>
        </w:rPr>
        <w:t>…”</w:t>
      </w:r>
      <w:r w:rsidR="00900282" w:rsidRPr="1540DD9B">
        <w:rPr>
          <w:lang w:eastAsia="en-GB"/>
        </w:rPr>
        <w:t xml:space="preserve"> The statute does not say that a failure to comply with</w:t>
      </w:r>
      <w:r w:rsidR="008D130C" w:rsidRPr="1540DD9B">
        <w:rPr>
          <w:lang w:eastAsia="en-GB"/>
        </w:rPr>
        <w:t xml:space="preserve"> those rules invalidates the </w:t>
      </w:r>
      <w:bookmarkStart w:id="79" w:name="_Int_hhVg31n3"/>
      <w:r w:rsidR="008D130C" w:rsidRPr="1540DD9B">
        <w:rPr>
          <w:lang w:eastAsia="en-GB"/>
        </w:rPr>
        <w:t>indictment</w:t>
      </w:r>
      <w:bookmarkEnd w:id="79"/>
      <w:r w:rsidR="008D130C" w:rsidRPr="1540DD9B">
        <w:rPr>
          <w:lang w:eastAsia="en-GB"/>
        </w:rPr>
        <w:t>.</w:t>
      </w:r>
    </w:p>
    <w:p w14:paraId="7AF195AC" w14:textId="4DA467C2" w:rsidR="005374E0" w:rsidRDefault="00A45E99" w:rsidP="00EA0C29">
      <w:pPr>
        <w:pStyle w:val="ParaLevel1"/>
        <w:rPr>
          <w:lang w:eastAsia="en-GB"/>
        </w:rPr>
      </w:pPr>
      <w:r w:rsidRPr="1540DD9B">
        <w:rPr>
          <w:lang w:eastAsia="en-GB"/>
        </w:rPr>
        <w:t>Part 10 of t</w:t>
      </w:r>
      <w:r w:rsidR="00174E16" w:rsidRPr="1540DD9B">
        <w:rPr>
          <w:lang w:eastAsia="en-GB"/>
        </w:rPr>
        <w:t xml:space="preserve">he CrimPR </w:t>
      </w:r>
      <w:r w:rsidR="007C0AFB" w:rsidRPr="1540DD9B">
        <w:rPr>
          <w:lang w:eastAsia="en-GB"/>
        </w:rPr>
        <w:t>is concerned with indictments</w:t>
      </w:r>
      <w:r w:rsidR="35AE63A1" w:rsidRPr="1540DD9B">
        <w:rPr>
          <w:lang w:eastAsia="en-GB"/>
        </w:rPr>
        <w:t xml:space="preserve">. </w:t>
      </w:r>
      <w:r w:rsidR="00B137CE" w:rsidRPr="1540DD9B">
        <w:rPr>
          <w:lang w:eastAsia="en-GB"/>
        </w:rPr>
        <w:t xml:space="preserve">Rule 10.2 </w:t>
      </w:r>
      <w:r w:rsidR="007C0AFB" w:rsidRPr="1540DD9B">
        <w:rPr>
          <w:lang w:eastAsia="en-GB"/>
        </w:rPr>
        <w:t xml:space="preserve">contains </w:t>
      </w:r>
      <w:r w:rsidR="00D134A2" w:rsidRPr="1540DD9B">
        <w:rPr>
          <w:lang w:eastAsia="en-GB"/>
        </w:rPr>
        <w:t xml:space="preserve">general rules about indictments including form and content. </w:t>
      </w:r>
      <w:r w:rsidR="00850ACA" w:rsidRPr="1540DD9B">
        <w:rPr>
          <w:lang w:eastAsia="en-GB"/>
        </w:rPr>
        <w:t>Rule 10</w:t>
      </w:r>
      <w:r w:rsidR="000E787D" w:rsidRPr="1540DD9B">
        <w:rPr>
          <w:lang w:eastAsia="en-GB"/>
        </w:rPr>
        <w:t>.2</w:t>
      </w:r>
      <w:r w:rsidR="00850ACA" w:rsidRPr="1540DD9B">
        <w:rPr>
          <w:lang w:eastAsia="en-GB"/>
        </w:rPr>
        <w:t>(5)</w:t>
      </w:r>
      <w:r w:rsidR="00310AA5" w:rsidRPr="1540DD9B">
        <w:rPr>
          <w:lang w:eastAsia="en-GB"/>
        </w:rPr>
        <w:t xml:space="preserve"> </w:t>
      </w:r>
      <w:r w:rsidR="00CE2512" w:rsidRPr="1540DD9B">
        <w:rPr>
          <w:lang w:eastAsia="en-GB"/>
        </w:rPr>
        <w:t>stipulates</w:t>
      </w:r>
      <w:r w:rsidR="00BD1EE2" w:rsidRPr="1540DD9B">
        <w:rPr>
          <w:lang w:eastAsia="en-GB"/>
        </w:rPr>
        <w:t xml:space="preserve"> </w:t>
      </w:r>
      <w:r w:rsidR="00310AA5" w:rsidRPr="1540DD9B">
        <w:rPr>
          <w:lang w:eastAsia="en-GB"/>
        </w:rPr>
        <w:t xml:space="preserve">that a draft </w:t>
      </w:r>
      <w:bookmarkStart w:id="80" w:name="_Int_DifE279h"/>
      <w:r w:rsidR="00310AA5" w:rsidRPr="1540DD9B">
        <w:rPr>
          <w:lang w:eastAsia="en-GB"/>
        </w:rPr>
        <w:t>indictment</w:t>
      </w:r>
      <w:bookmarkEnd w:id="80"/>
      <w:r w:rsidR="00310AA5" w:rsidRPr="1540DD9B">
        <w:rPr>
          <w:lang w:eastAsia="en-GB"/>
        </w:rPr>
        <w:t xml:space="preserve"> is a bill of </w:t>
      </w:r>
      <w:bookmarkStart w:id="81" w:name="_Int_kaILgcdh"/>
      <w:r w:rsidR="00310AA5" w:rsidRPr="1540DD9B">
        <w:rPr>
          <w:lang w:eastAsia="en-GB"/>
        </w:rPr>
        <w:t>indictment</w:t>
      </w:r>
      <w:bookmarkEnd w:id="81"/>
      <w:r w:rsidR="00310AA5" w:rsidRPr="1540DD9B">
        <w:rPr>
          <w:lang w:eastAsia="en-GB"/>
        </w:rPr>
        <w:t xml:space="preserve"> for the purposes of section 2 of the 1933 Act</w:t>
      </w:r>
      <w:r w:rsidR="00DC5F90" w:rsidRPr="1540DD9B">
        <w:rPr>
          <w:lang w:eastAsia="en-GB"/>
        </w:rPr>
        <w:t>. Rule 10.3</w:t>
      </w:r>
      <w:r w:rsidR="005F2B60" w:rsidRPr="1540DD9B">
        <w:rPr>
          <w:lang w:eastAsia="en-GB"/>
        </w:rPr>
        <w:t xml:space="preserve"> </w:t>
      </w:r>
      <w:r w:rsidR="00CE2512" w:rsidRPr="1540DD9B">
        <w:rPr>
          <w:lang w:eastAsia="en-GB"/>
        </w:rPr>
        <w:t>provide</w:t>
      </w:r>
      <w:r w:rsidR="005F2B60" w:rsidRPr="1540DD9B">
        <w:rPr>
          <w:lang w:eastAsia="en-GB"/>
        </w:rPr>
        <w:t>s that</w:t>
      </w:r>
      <w:r w:rsidR="000F1B7B" w:rsidRPr="1540DD9B">
        <w:rPr>
          <w:lang w:eastAsia="en-GB"/>
        </w:rPr>
        <w:t xml:space="preserve"> arrangements can </w:t>
      </w:r>
      <w:r w:rsidR="001A2D0A" w:rsidRPr="1540DD9B">
        <w:rPr>
          <w:lang w:eastAsia="en-GB"/>
        </w:rPr>
        <w:t>b</w:t>
      </w:r>
      <w:r w:rsidR="000F1B7B" w:rsidRPr="1540DD9B">
        <w:rPr>
          <w:lang w:eastAsia="en-GB"/>
        </w:rPr>
        <w:t>e made between Magistrates’ Court</w:t>
      </w:r>
      <w:r w:rsidR="00330015">
        <w:rPr>
          <w:lang w:eastAsia="en-GB"/>
        </w:rPr>
        <w:t>s</w:t>
      </w:r>
      <w:r w:rsidR="000F1B7B" w:rsidRPr="1540DD9B">
        <w:rPr>
          <w:lang w:eastAsia="en-GB"/>
        </w:rPr>
        <w:t xml:space="preserve"> and Crown Courts for the automatic </w:t>
      </w:r>
      <w:r w:rsidR="001A2D0A" w:rsidRPr="1540DD9B">
        <w:rPr>
          <w:lang w:eastAsia="en-GB"/>
        </w:rPr>
        <w:t xml:space="preserve">electronic </w:t>
      </w:r>
      <w:r w:rsidR="000F1B7B" w:rsidRPr="1540DD9B">
        <w:rPr>
          <w:lang w:eastAsia="en-GB"/>
        </w:rPr>
        <w:t>generatio</w:t>
      </w:r>
      <w:r w:rsidR="001A2D0A" w:rsidRPr="1540DD9B">
        <w:rPr>
          <w:lang w:eastAsia="en-GB"/>
        </w:rPr>
        <w:t>n</w:t>
      </w:r>
      <w:r w:rsidR="008A2F88" w:rsidRPr="1540DD9B">
        <w:rPr>
          <w:lang w:eastAsia="en-GB"/>
        </w:rPr>
        <w:t xml:space="preserve"> </w:t>
      </w:r>
      <w:r w:rsidR="001A2D0A" w:rsidRPr="1540DD9B">
        <w:rPr>
          <w:lang w:eastAsia="en-GB"/>
        </w:rPr>
        <w:t>of a</w:t>
      </w:r>
      <w:r w:rsidR="00AE2CCD" w:rsidRPr="1540DD9B">
        <w:rPr>
          <w:lang w:eastAsia="en-GB"/>
        </w:rPr>
        <w:t xml:space="preserve"> draft </w:t>
      </w:r>
      <w:bookmarkStart w:id="82" w:name="_Int_im2W5nED"/>
      <w:r w:rsidR="001A2D0A" w:rsidRPr="1540DD9B">
        <w:rPr>
          <w:lang w:eastAsia="en-GB"/>
        </w:rPr>
        <w:t>indictment</w:t>
      </w:r>
      <w:bookmarkEnd w:id="82"/>
      <w:r w:rsidR="001A2D0A" w:rsidRPr="1540DD9B">
        <w:rPr>
          <w:lang w:eastAsia="en-GB"/>
        </w:rPr>
        <w:t xml:space="preserve"> when the case is sent to the Crown Court</w:t>
      </w:r>
      <w:r w:rsidR="78F9EB17" w:rsidRPr="1540DD9B">
        <w:rPr>
          <w:lang w:eastAsia="en-GB"/>
        </w:rPr>
        <w:t xml:space="preserve">. </w:t>
      </w:r>
      <w:r w:rsidR="007D1DCE" w:rsidRPr="1540DD9B">
        <w:rPr>
          <w:lang w:eastAsia="en-GB"/>
        </w:rPr>
        <w:t xml:space="preserve">There do not appear to have been such arrangements in place between the courts involved in the York </w:t>
      </w:r>
      <w:r w:rsidR="00A05AB4" w:rsidRPr="1540DD9B">
        <w:rPr>
          <w:lang w:eastAsia="en-GB"/>
        </w:rPr>
        <w:t>case,</w:t>
      </w:r>
      <w:r w:rsidR="00B46168" w:rsidRPr="1540DD9B">
        <w:rPr>
          <w:lang w:eastAsia="en-GB"/>
        </w:rPr>
        <w:t xml:space="preserve"> but it is, to our minds, significant when thinking of</w:t>
      </w:r>
      <w:r w:rsidR="00A05AB4" w:rsidRPr="1540DD9B">
        <w:rPr>
          <w:lang w:eastAsia="en-GB"/>
        </w:rPr>
        <w:t xml:space="preserve"> the</w:t>
      </w:r>
      <w:r w:rsidR="00B46168" w:rsidRPr="1540DD9B">
        <w:rPr>
          <w:lang w:eastAsia="en-GB"/>
        </w:rPr>
        <w:t xml:space="preserve"> consequences of York’s failure to use </w:t>
      </w:r>
      <w:r w:rsidR="007A06B9" w:rsidRPr="1540DD9B">
        <w:rPr>
          <w:lang w:eastAsia="en-GB"/>
        </w:rPr>
        <w:t xml:space="preserve">an authorised person to conduct the Crown Court litigation that the rules do not even require the </w:t>
      </w:r>
      <w:bookmarkStart w:id="83" w:name="_Int_8zw4scGH"/>
      <w:r w:rsidR="007A06B9" w:rsidRPr="1540DD9B">
        <w:rPr>
          <w:lang w:eastAsia="en-GB"/>
        </w:rPr>
        <w:t>indictment</w:t>
      </w:r>
      <w:bookmarkEnd w:id="83"/>
      <w:r w:rsidR="007A06B9" w:rsidRPr="1540DD9B">
        <w:rPr>
          <w:lang w:eastAsia="en-GB"/>
        </w:rPr>
        <w:t xml:space="preserve"> to be </w:t>
      </w:r>
      <w:r w:rsidR="000E787D" w:rsidRPr="1540DD9B">
        <w:rPr>
          <w:lang w:eastAsia="en-GB"/>
        </w:rPr>
        <w:t xml:space="preserve">drafted and served by the prosecutor. </w:t>
      </w:r>
      <w:r w:rsidR="00ED469E" w:rsidRPr="1540DD9B">
        <w:rPr>
          <w:lang w:eastAsia="en-GB"/>
        </w:rPr>
        <w:t>If</w:t>
      </w:r>
      <w:r w:rsidR="000E787D" w:rsidRPr="1540DD9B">
        <w:rPr>
          <w:lang w:eastAsia="en-GB"/>
        </w:rPr>
        <w:t xml:space="preserve"> the rule 10.3</w:t>
      </w:r>
      <w:r w:rsidR="00AA7A7E" w:rsidRPr="1540DD9B">
        <w:rPr>
          <w:lang w:eastAsia="en-GB"/>
        </w:rPr>
        <w:t xml:space="preserve"> </w:t>
      </w:r>
      <w:r w:rsidR="00ED469E" w:rsidRPr="1540DD9B">
        <w:rPr>
          <w:lang w:eastAsia="en-GB"/>
        </w:rPr>
        <w:t xml:space="preserve">route is used the draft </w:t>
      </w:r>
      <w:bookmarkStart w:id="84" w:name="_Int_vzeC9feY"/>
      <w:r w:rsidR="00ED469E" w:rsidRPr="1540DD9B">
        <w:rPr>
          <w:lang w:eastAsia="en-GB"/>
        </w:rPr>
        <w:t>indictment</w:t>
      </w:r>
      <w:bookmarkEnd w:id="84"/>
      <w:r w:rsidR="00ED469E" w:rsidRPr="1540DD9B">
        <w:rPr>
          <w:lang w:eastAsia="en-GB"/>
        </w:rPr>
        <w:t xml:space="preserve"> bec</w:t>
      </w:r>
      <w:r w:rsidR="00577D6B" w:rsidRPr="1540DD9B">
        <w:rPr>
          <w:lang w:eastAsia="en-GB"/>
        </w:rPr>
        <w:t xml:space="preserve">omes the </w:t>
      </w:r>
      <w:bookmarkStart w:id="85" w:name="_Int_yuKiL3JW"/>
      <w:r w:rsidR="00577D6B" w:rsidRPr="1540DD9B">
        <w:rPr>
          <w:lang w:eastAsia="en-GB"/>
        </w:rPr>
        <w:t>indictment</w:t>
      </w:r>
      <w:bookmarkEnd w:id="85"/>
      <w:r w:rsidR="00577D6B" w:rsidRPr="1540DD9B">
        <w:rPr>
          <w:lang w:eastAsia="en-GB"/>
        </w:rPr>
        <w:t xml:space="preserve"> immediately before it is read to the defendant in court: rule 10.2(5</w:t>
      </w:r>
      <w:r w:rsidR="00025DAD" w:rsidRPr="1540DD9B">
        <w:rPr>
          <w:lang w:eastAsia="en-GB"/>
        </w:rPr>
        <w:t xml:space="preserve">)(b)(i). </w:t>
      </w:r>
    </w:p>
    <w:p w14:paraId="7039AEF0" w14:textId="362E4E1E" w:rsidR="00025DAD" w:rsidRDefault="00025DAD" w:rsidP="00EA0C29">
      <w:pPr>
        <w:pStyle w:val="ParaLevel1"/>
        <w:rPr>
          <w:lang w:eastAsia="en-GB"/>
        </w:rPr>
      </w:pPr>
      <w:r w:rsidRPr="1540DD9B">
        <w:rPr>
          <w:lang w:eastAsia="en-GB"/>
        </w:rPr>
        <w:t>Rule 10.4 applies when</w:t>
      </w:r>
      <w:r w:rsidR="005C66F3" w:rsidRPr="1540DD9B">
        <w:rPr>
          <w:lang w:eastAsia="en-GB"/>
        </w:rPr>
        <w:t xml:space="preserve"> a draft </w:t>
      </w:r>
      <w:bookmarkStart w:id="86" w:name="_Int_g0D5RDZu"/>
      <w:r w:rsidR="005C66F3" w:rsidRPr="1540DD9B">
        <w:rPr>
          <w:lang w:eastAsia="en-GB"/>
        </w:rPr>
        <w:t>indi</w:t>
      </w:r>
      <w:r w:rsidR="00BD08E0" w:rsidRPr="1540DD9B">
        <w:rPr>
          <w:lang w:eastAsia="en-GB"/>
        </w:rPr>
        <w:t>ct</w:t>
      </w:r>
      <w:r w:rsidR="005C66F3" w:rsidRPr="1540DD9B">
        <w:rPr>
          <w:lang w:eastAsia="en-GB"/>
        </w:rPr>
        <w:t>ment</w:t>
      </w:r>
      <w:bookmarkEnd w:id="86"/>
      <w:r w:rsidR="005C66F3" w:rsidRPr="1540DD9B">
        <w:rPr>
          <w:lang w:eastAsia="en-GB"/>
        </w:rPr>
        <w:t xml:space="preserve"> </w:t>
      </w:r>
      <w:r w:rsidR="00C833D3" w:rsidRPr="1540DD9B">
        <w:rPr>
          <w:lang w:eastAsia="en-GB"/>
        </w:rPr>
        <w:t>is not electronically generated on the sending of a case by the Magistrates’ Court</w:t>
      </w:r>
      <w:r w:rsidRPr="1540DD9B">
        <w:rPr>
          <w:lang w:eastAsia="en-GB"/>
        </w:rPr>
        <w:t xml:space="preserve"> </w:t>
      </w:r>
      <w:r w:rsidR="00C833D3" w:rsidRPr="1540DD9B">
        <w:rPr>
          <w:lang w:eastAsia="en-GB"/>
        </w:rPr>
        <w:t>to the Crown Court</w:t>
      </w:r>
      <w:r w:rsidR="74B05338" w:rsidRPr="1540DD9B">
        <w:rPr>
          <w:lang w:eastAsia="en-GB"/>
        </w:rPr>
        <w:t xml:space="preserve">. </w:t>
      </w:r>
      <w:r w:rsidR="008B3BB0" w:rsidRPr="1540DD9B">
        <w:rPr>
          <w:lang w:eastAsia="en-GB"/>
        </w:rPr>
        <w:t xml:space="preserve">By rule 10.4(1) </w:t>
      </w:r>
      <w:r w:rsidR="00E51E02" w:rsidRPr="1540DD9B">
        <w:rPr>
          <w:lang w:eastAsia="en-GB"/>
        </w:rPr>
        <w:t>t</w:t>
      </w:r>
      <w:r w:rsidR="008B3BB0" w:rsidRPr="1540DD9B">
        <w:rPr>
          <w:lang w:eastAsia="en-GB"/>
        </w:rPr>
        <w:t xml:space="preserve">he prosecutor must serve a draft </w:t>
      </w:r>
      <w:bookmarkStart w:id="87" w:name="_Int_8pawh0TL"/>
      <w:r w:rsidR="008B3BB0" w:rsidRPr="1540DD9B">
        <w:rPr>
          <w:lang w:eastAsia="en-GB"/>
        </w:rPr>
        <w:t>indictment</w:t>
      </w:r>
      <w:bookmarkEnd w:id="87"/>
      <w:r w:rsidR="008B3BB0" w:rsidRPr="1540DD9B">
        <w:rPr>
          <w:lang w:eastAsia="en-GB"/>
        </w:rPr>
        <w:t xml:space="preserve"> on the Crown Court officer not more than 20</w:t>
      </w:r>
      <w:r w:rsidR="00E51E02" w:rsidRPr="1540DD9B">
        <w:rPr>
          <w:lang w:eastAsia="en-GB"/>
        </w:rPr>
        <w:t xml:space="preserve"> business</w:t>
      </w:r>
      <w:r w:rsidR="008B3BB0" w:rsidRPr="1540DD9B">
        <w:rPr>
          <w:lang w:eastAsia="en-GB"/>
        </w:rPr>
        <w:t xml:space="preserve"> days</w:t>
      </w:r>
      <w:r w:rsidR="00E51E02" w:rsidRPr="1540DD9B">
        <w:rPr>
          <w:lang w:eastAsia="en-GB"/>
        </w:rPr>
        <w:t xml:space="preserve"> after the service of prosecution evidence</w:t>
      </w:r>
      <w:r w:rsidR="003F14B2" w:rsidRPr="1540DD9B">
        <w:rPr>
          <w:lang w:eastAsia="en-GB"/>
        </w:rPr>
        <w:t xml:space="preserve"> under rule 3.19.</w:t>
      </w:r>
      <w:r w:rsidR="00FA7865" w:rsidRPr="1540DD9B">
        <w:rPr>
          <w:lang w:eastAsia="en-GB"/>
        </w:rPr>
        <w:t xml:space="preserve"> </w:t>
      </w:r>
      <w:r w:rsidR="00291556" w:rsidRPr="1540DD9B">
        <w:rPr>
          <w:lang w:eastAsia="en-GB"/>
        </w:rPr>
        <w:t xml:space="preserve">The draft </w:t>
      </w:r>
      <w:bookmarkStart w:id="88" w:name="_Int_t5jiJDEI"/>
      <w:r w:rsidR="00291556" w:rsidRPr="1540DD9B">
        <w:rPr>
          <w:lang w:eastAsia="en-GB"/>
        </w:rPr>
        <w:t>indictment</w:t>
      </w:r>
      <w:bookmarkEnd w:id="88"/>
      <w:r w:rsidR="00D55DC3" w:rsidRPr="1540DD9B">
        <w:rPr>
          <w:lang w:eastAsia="en-GB"/>
        </w:rPr>
        <w:t xml:space="preserve"> becomes the </w:t>
      </w:r>
      <w:bookmarkStart w:id="89" w:name="_Int_ZyJgfAF3"/>
      <w:r w:rsidR="00D55DC3" w:rsidRPr="1540DD9B">
        <w:rPr>
          <w:lang w:eastAsia="en-GB"/>
        </w:rPr>
        <w:t>indictment</w:t>
      </w:r>
      <w:bookmarkEnd w:id="89"/>
      <w:r w:rsidR="00D55DC3" w:rsidRPr="1540DD9B">
        <w:rPr>
          <w:lang w:eastAsia="en-GB"/>
        </w:rPr>
        <w:t xml:space="preserve"> when it is served on the cou</w:t>
      </w:r>
      <w:r w:rsidR="009D18E2" w:rsidRPr="1540DD9B">
        <w:rPr>
          <w:lang w:eastAsia="en-GB"/>
        </w:rPr>
        <w:t>r</w:t>
      </w:r>
      <w:r w:rsidR="00D55DC3" w:rsidRPr="1540DD9B">
        <w:rPr>
          <w:lang w:eastAsia="en-GB"/>
        </w:rPr>
        <w:t>t office</w:t>
      </w:r>
      <w:r w:rsidR="009D18E2" w:rsidRPr="1540DD9B">
        <w:rPr>
          <w:lang w:eastAsia="en-GB"/>
        </w:rPr>
        <w:t>r</w:t>
      </w:r>
      <w:r w:rsidR="00D55DC3" w:rsidRPr="1540DD9B">
        <w:rPr>
          <w:lang w:eastAsia="en-GB"/>
        </w:rPr>
        <w:t xml:space="preserve"> (rule </w:t>
      </w:r>
      <w:r w:rsidR="009D18E2" w:rsidRPr="1540DD9B">
        <w:rPr>
          <w:lang w:eastAsia="en-GB"/>
        </w:rPr>
        <w:t>10.2(5)(b)(ii)</w:t>
      </w:r>
      <w:r w:rsidR="006152CA" w:rsidRPr="1540DD9B">
        <w:rPr>
          <w:lang w:eastAsia="en-GB"/>
        </w:rPr>
        <w:t>)</w:t>
      </w:r>
      <w:r w:rsidR="35A6A883" w:rsidRPr="1540DD9B">
        <w:rPr>
          <w:lang w:eastAsia="en-GB"/>
        </w:rPr>
        <w:t xml:space="preserve">. </w:t>
      </w:r>
      <w:r w:rsidR="00813E00" w:rsidRPr="1540DD9B">
        <w:rPr>
          <w:lang w:eastAsia="en-GB"/>
        </w:rPr>
        <w:t xml:space="preserve">Rule 10.2(7) requires the </w:t>
      </w:r>
      <w:r w:rsidR="00A93C0D" w:rsidRPr="1540DD9B">
        <w:rPr>
          <w:lang w:eastAsia="en-GB"/>
        </w:rPr>
        <w:t xml:space="preserve">court office to endorse a paper copy of </w:t>
      </w:r>
      <w:r w:rsidR="00C630D5" w:rsidRPr="1540DD9B">
        <w:rPr>
          <w:lang w:eastAsia="en-GB"/>
        </w:rPr>
        <w:t xml:space="preserve">the </w:t>
      </w:r>
      <w:bookmarkStart w:id="90" w:name="_Int_DxFBWTbn"/>
      <w:r w:rsidR="00A93C0D" w:rsidRPr="1540DD9B">
        <w:rPr>
          <w:lang w:eastAsia="en-GB"/>
        </w:rPr>
        <w:t>indictment</w:t>
      </w:r>
      <w:bookmarkEnd w:id="90"/>
      <w:r w:rsidR="00A93C0D" w:rsidRPr="1540DD9B">
        <w:rPr>
          <w:lang w:eastAsia="en-GB"/>
        </w:rPr>
        <w:t xml:space="preserve"> and serve it on the parties. </w:t>
      </w:r>
    </w:p>
    <w:p w14:paraId="44235526" w14:textId="22BF4DC1" w:rsidR="00646650" w:rsidRDefault="00DD21EA" w:rsidP="00EA0C29">
      <w:pPr>
        <w:pStyle w:val="ParaLevel1"/>
        <w:rPr>
          <w:lang w:eastAsia="en-GB"/>
        </w:rPr>
      </w:pPr>
      <w:r w:rsidRPr="1540DD9B">
        <w:rPr>
          <w:lang w:eastAsia="en-GB"/>
        </w:rPr>
        <w:t xml:space="preserve">York served the draft </w:t>
      </w:r>
      <w:bookmarkStart w:id="91" w:name="_Int_1QfOYSIH"/>
      <w:r w:rsidRPr="1540DD9B">
        <w:rPr>
          <w:lang w:eastAsia="en-GB"/>
        </w:rPr>
        <w:t>indictment</w:t>
      </w:r>
      <w:bookmarkEnd w:id="91"/>
      <w:r w:rsidR="007D3260" w:rsidRPr="1540DD9B">
        <w:rPr>
          <w:lang w:eastAsia="en-GB"/>
        </w:rPr>
        <w:t xml:space="preserve"> but did not use an authorised litigator for that purpose</w:t>
      </w:r>
      <w:r w:rsidR="00CA1155" w:rsidRPr="1540DD9B">
        <w:rPr>
          <w:lang w:eastAsia="en-GB"/>
        </w:rPr>
        <w:t xml:space="preserve">. </w:t>
      </w:r>
      <w:r w:rsidR="006B0E87" w:rsidRPr="1540DD9B">
        <w:rPr>
          <w:lang w:eastAsia="en-GB"/>
        </w:rPr>
        <w:t>O</w:t>
      </w:r>
      <w:r w:rsidR="00F113AF" w:rsidRPr="1540DD9B">
        <w:rPr>
          <w:lang w:eastAsia="en-GB"/>
        </w:rPr>
        <w:t xml:space="preserve">n the assumption that service of </w:t>
      </w:r>
      <w:bookmarkStart w:id="92" w:name="_Int_Nq0VnTRa"/>
      <w:r w:rsidR="00F113AF" w:rsidRPr="1540DD9B">
        <w:rPr>
          <w:lang w:eastAsia="en-GB"/>
        </w:rPr>
        <w:t>an</w:t>
      </w:r>
      <w:r w:rsidR="6D895BD3" w:rsidRPr="1540DD9B">
        <w:rPr>
          <w:lang w:eastAsia="en-GB"/>
        </w:rPr>
        <w:t xml:space="preserve"> </w:t>
      </w:r>
      <w:r w:rsidR="00F113AF" w:rsidRPr="1540DD9B">
        <w:rPr>
          <w:lang w:eastAsia="en-GB"/>
        </w:rPr>
        <w:t>indictment</w:t>
      </w:r>
      <w:bookmarkEnd w:id="92"/>
      <w:r w:rsidR="0030300A" w:rsidRPr="1540DD9B">
        <w:rPr>
          <w:lang w:eastAsia="en-GB"/>
        </w:rPr>
        <w:t xml:space="preserve"> is an ancillary function</w:t>
      </w:r>
      <w:r w:rsidR="00574BFC" w:rsidRPr="1540DD9B">
        <w:rPr>
          <w:lang w:eastAsia="en-GB"/>
        </w:rPr>
        <w:t xml:space="preserve"> amounting to the conduct of litigation, </w:t>
      </w:r>
      <w:r w:rsidR="006B0E87" w:rsidRPr="1540DD9B">
        <w:rPr>
          <w:lang w:eastAsia="en-GB"/>
        </w:rPr>
        <w:t xml:space="preserve">it </w:t>
      </w:r>
      <w:r w:rsidR="0071439A" w:rsidRPr="1540DD9B">
        <w:rPr>
          <w:lang w:eastAsia="en-GB"/>
        </w:rPr>
        <w:t xml:space="preserve">thus </w:t>
      </w:r>
      <w:r w:rsidR="006B0E87" w:rsidRPr="1540DD9B">
        <w:rPr>
          <w:lang w:eastAsia="en-GB"/>
        </w:rPr>
        <w:t>failed to comply with the</w:t>
      </w:r>
      <w:r w:rsidR="00574BFC" w:rsidRPr="1540DD9B">
        <w:rPr>
          <w:lang w:eastAsia="en-GB"/>
        </w:rPr>
        <w:t xml:space="preserve"> </w:t>
      </w:r>
      <w:r w:rsidR="006B0E87" w:rsidRPr="1540DD9B">
        <w:rPr>
          <w:lang w:eastAsia="en-GB"/>
        </w:rPr>
        <w:t>LSA 2007</w:t>
      </w:r>
      <w:r w:rsidR="0071439A" w:rsidRPr="1540DD9B">
        <w:rPr>
          <w:lang w:eastAsia="en-GB"/>
        </w:rPr>
        <w:t>. R</w:t>
      </w:r>
      <w:r w:rsidR="006B0E87" w:rsidRPr="1540DD9B">
        <w:rPr>
          <w:lang w:eastAsia="en-GB"/>
        </w:rPr>
        <w:t xml:space="preserve">ule </w:t>
      </w:r>
      <w:r w:rsidR="00B97528" w:rsidRPr="1540DD9B">
        <w:rPr>
          <w:lang w:eastAsia="en-GB"/>
        </w:rPr>
        <w:t>46.1 CrimPR</w:t>
      </w:r>
      <w:r w:rsidR="0071439A" w:rsidRPr="1540DD9B">
        <w:rPr>
          <w:lang w:eastAsia="en-GB"/>
        </w:rPr>
        <w:t xml:space="preserve"> did not authorise the use of </w:t>
      </w:r>
      <w:r w:rsidR="00C62D83" w:rsidRPr="1540DD9B">
        <w:rPr>
          <w:lang w:eastAsia="en-GB"/>
        </w:rPr>
        <w:t xml:space="preserve">a </w:t>
      </w:r>
      <w:r w:rsidR="0056628A" w:rsidRPr="1540DD9B">
        <w:rPr>
          <w:lang w:eastAsia="en-GB"/>
        </w:rPr>
        <w:t>non-authorised person for that purpose</w:t>
      </w:r>
      <w:r w:rsidR="00B97528" w:rsidRPr="1540DD9B">
        <w:rPr>
          <w:lang w:eastAsia="en-GB"/>
        </w:rPr>
        <w:t>.</w:t>
      </w:r>
      <w:r w:rsidR="00784A26" w:rsidRPr="1540DD9B">
        <w:rPr>
          <w:lang w:eastAsia="en-GB"/>
        </w:rPr>
        <w:t xml:space="preserve"> We have already explained why a failure to comply with the LSA 2007 in this respect does not automatically invalidate the step taken</w:t>
      </w:r>
      <w:r w:rsidR="00957A1C" w:rsidRPr="1540DD9B">
        <w:rPr>
          <w:lang w:eastAsia="en-GB"/>
        </w:rPr>
        <w:t xml:space="preserve">. </w:t>
      </w:r>
      <w:r w:rsidR="006D52D1" w:rsidRPr="1540DD9B">
        <w:rPr>
          <w:lang w:eastAsia="en-GB"/>
        </w:rPr>
        <w:t>It would be a particularly capricious outcome</w:t>
      </w:r>
      <w:r w:rsidR="007539AC" w:rsidRPr="1540DD9B">
        <w:rPr>
          <w:lang w:eastAsia="en-GB"/>
        </w:rPr>
        <w:t xml:space="preserve"> </w:t>
      </w:r>
      <w:r w:rsidR="00F2799D" w:rsidRPr="1540DD9B">
        <w:rPr>
          <w:lang w:eastAsia="en-GB"/>
        </w:rPr>
        <w:t xml:space="preserve">to invalidate </w:t>
      </w:r>
      <w:bookmarkStart w:id="93" w:name="_Int_VOj5EFGb"/>
      <w:r w:rsidR="004752F3" w:rsidRPr="1540DD9B">
        <w:rPr>
          <w:lang w:eastAsia="en-GB"/>
        </w:rPr>
        <w:t>an indictment</w:t>
      </w:r>
      <w:bookmarkEnd w:id="93"/>
      <w:r w:rsidR="004752F3" w:rsidRPr="1540DD9B">
        <w:rPr>
          <w:lang w:eastAsia="en-GB"/>
        </w:rPr>
        <w:t xml:space="preserve"> </w:t>
      </w:r>
      <w:r w:rsidR="00EB3FE6" w:rsidRPr="1540DD9B">
        <w:rPr>
          <w:lang w:eastAsia="en-GB"/>
        </w:rPr>
        <w:t xml:space="preserve">on the grounds that it was </w:t>
      </w:r>
      <w:r w:rsidR="00311DFC" w:rsidRPr="1540DD9B">
        <w:rPr>
          <w:lang w:eastAsia="en-GB"/>
        </w:rPr>
        <w:t xml:space="preserve">served by an unauthorised person when, under the rules, it might have been </w:t>
      </w:r>
      <w:r w:rsidR="00646650" w:rsidRPr="1540DD9B">
        <w:rPr>
          <w:lang w:eastAsia="en-GB"/>
        </w:rPr>
        <w:t xml:space="preserve">electronically </w:t>
      </w:r>
      <w:r w:rsidR="00311DFC" w:rsidRPr="1540DD9B">
        <w:rPr>
          <w:lang w:eastAsia="en-GB"/>
        </w:rPr>
        <w:t>generated automatically</w:t>
      </w:r>
      <w:r w:rsidR="004A676F" w:rsidRPr="1540DD9B">
        <w:rPr>
          <w:lang w:eastAsia="en-GB"/>
        </w:rPr>
        <w:t xml:space="preserve"> had the necessary arrangements been in place.</w:t>
      </w:r>
    </w:p>
    <w:p w14:paraId="10D4F4F3" w14:textId="409EC547" w:rsidR="009E75E6" w:rsidRDefault="00646650" w:rsidP="00EA0C29">
      <w:pPr>
        <w:pStyle w:val="ParaLevel1"/>
        <w:rPr>
          <w:lang w:eastAsia="en-GB"/>
        </w:rPr>
      </w:pPr>
      <w:r w:rsidRPr="1540DD9B">
        <w:rPr>
          <w:lang w:eastAsia="en-GB"/>
        </w:rPr>
        <w:t xml:space="preserve">Our conclusion is that the draft </w:t>
      </w:r>
      <w:bookmarkStart w:id="94" w:name="_Int_iGXRK9yk"/>
      <w:r w:rsidRPr="1540DD9B">
        <w:rPr>
          <w:lang w:eastAsia="en-GB"/>
        </w:rPr>
        <w:t>indi</w:t>
      </w:r>
      <w:r w:rsidR="009A745B" w:rsidRPr="1540DD9B">
        <w:rPr>
          <w:lang w:eastAsia="en-GB"/>
        </w:rPr>
        <w:t>ctment</w:t>
      </w:r>
      <w:bookmarkEnd w:id="94"/>
      <w:r w:rsidR="009A745B" w:rsidRPr="1540DD9B">
        <w:rPr>
          <w:lang w:eastAsia="en-GB"/>
        </w:rPr>
        <w:t xml:space="preserve"> served by York in November 2020 was valid</w:t>
      </w:r>
      <w:r w:rsidR="006F38C1" w:rsidRPr="1540DD9B">
        <w:rPr>
          <w:lang w:eastAsia="en-GB"/>
        </w:rPr>
        <w:t>. It was thereafter amended in an unexceptional way with its final form being produced in open court by leading counsel</w:t>
      </w:r>
      <w:r w:rsidR="009923C1" w:rsidRPr="1540DD9B">
        <w:rPr>
          <w:lang w:eastAsia="en-GB"/>
        </w:rPr>
        <w:t xml:space="preserve">. It was on that amended </w:t>
      </w:r>
      <w:bookmarkStart w:id="95" w:name="_Int_JnpKrh2B"/>
      <w:r w:rsidR="009923C1" w:rsidRPr="1540DD9B">
        <w:rPr>
          <w:lang w:eastAsia="en-GB"/>
        </w:rPr>
        <w:t>indictment</w:t>
      </w:r>
      <w:bookmarkEnd w:id="95"/>
      <w:r w:rsidR="009923C1" w:rsidRPr="1540DD9B">
        <w:rPr>
          <w:lang w:eastAsia="en-GB"/>
        </w:rPr>
        <w:t xml:space="preserve"> that the defendants were </w:t>
      </w:r>
      <w:bookmarkStart w:id="96" w:name="_Int_N9qt0cGE"/>
      <w:r w:rsidR="009923C1" w:rsidRPr="1540DD9B">
        <w:rPr>
          <w:lang w:eastAsia="en-GB"/>
        </w:rPr>
        <w:t>arraigned</w:t>
      </w:r>
      <w:bookmarkEnd w:id="96"/>
      <w:r w:rsidR="00A00D16" w:rsidRPr="1540DD9B">
        <w:rPr>
          <w:lang w:eastAsia="en-GB"/>
        </w:rPr>
        <w:t>.</w:t>
      </w:r>
      <w:r w:rsidR="008F1367" w:rsidRPr="1540DD9B">
        <w:rPr>
          <w:lang w:eastAsia="en-GB"/>
        </w:rPr>
        <w:t xml:space="preserve"> In coming to this conclusion</w:t>
      </w:r>
      <w:r w:rsidR="00EE4AAF" w:rsidRPr="1540DD9B">
        <w:rPr>
          <w:lang w:eastAsia="en-GB"/>
        </w:rPr>
        <w:t>,</w:t>
      </w:r>
      <w:r w:rsidR="008F1367" w:rsidRPr="1540DD9B">
        <w:rPr>
          <w:lang w:eastAsia="en-GB"/>
        </w:rPr>
        <w:t xml:space="preserve"> w</w:t>
      </w:r>
      <w:r w:rsidR="00EE4AAF" w:rsidRPr="1540DD9B">
        <w:rPr>
          <w:lang w:eastAsia="en-GB"/>
        </w:rPr>
        <w:t>e</w:t>
      </w:r>
      <w:r w:rsidR="008F1367" w:rsidRPr="1540DD9B">
        <w:rPr>
          <w:lang w:eastAsia="en-GB"/>
        </w:rPr>
        <w:t xml:space="preserve"> differ</w:t>
      </w:r>
      <w:r w:rsidR="00350E0A" w:rsidRPr="1540DD9B">
        <w:rPr>
          <w:lang w:eastAsia="en-GB"/>
        </w:rPr>
        <w:t xml:space="preserve"> </w:t>
      </w:r>
      <w:bookmarkStart w:id="97" w:name="_Int_PewTtnyc"/>
      <w:r w:rsidR="00350E0A" w:rsidRPr="1540DD9B">
        <w:rPr>
          <w:lang w:eastAsia="en-GB"/>
        </w:rPr>
        <w:t>to some extent</w:t>
      </w:r>
      <w:r w:rsidR="008F1367" w:rsidRPr="1540DD9B">
        <w:rPr>
          <w:lang w:eastAsia="en-GB"/>
        </w:rPr>
        <w:t xml:space="preserve"> from</w:t>
      </w:r>
      <w:bookmarkEnd w:id="97"/>
      <w:r w:rsidR="008F1367" w:rsidRPr="1540DD9B">
        <w:rPr>
          <w:lang w:eastAsia="en-GB"/>
        </w:rPr>
        <w:t xml:space="preserve"> the approach of the judge</w:t>
      </w:r>
      <w:r w:rsidR="00350E0A" w:rsidRPr="1540DD9B">
        <w:rPr>
          <w:lang w:eastAsia="en-GB"/>
        </w:rPr>
        <w:t>. He</w:t>
      </w:r>
      <w:r w:rsidR="009A2172" w:rsidRPr="1540DD9B">
        <w:rPr>
          <w:lang w:eastAsia="en-GB"/>
        </w:rPr>
        <w:t xml:space="preserve"> con</w:t>
      </w:r>
      <w:r w:rsidR="00547145" w:rsidRPr="1540DD9B">
        <w:rPr>
          <w:lang w:eastAsia="en-GB"/>
        </w:rPr>
        <w:t>sider</w:t>
      </w:r>
      <w:r w:rsidR="009A2172" w:rsidRPr="1540DD9B">
        <w:rPr>
          <w:lang w:eastAsia="en-GB"/>
        </w:rPr>
        <w:t xml:space="preserve">ed that the original draft </w:t>
      </w:r>
      <w:bookmarkStart w:id="98" w:name="_Int_vNBmRJTQ"/>
      <w:r w:rsidR="009A2172" w:rsidRPr="1540DD9B">
        <w:rPr>
          <w:lang w:eastAsia="en-GB"/>
        </w:rPr>
        <w:t>indictment</w:t>
      </w:r>
      <w:bookmarkEnd w:id="98"/>
      <w:r w:rsidR="009A2172" w:rsidRPr="1540DD9B">
        <w:rPr>
          <w:lang w:eastAsia="en-GB"/>
        </w:rPr>
        <w:t xml:space="preserve"> was defective </w:t>
      </w:r>
      <w:r w:rsidR="00D3633A" w:rsidRPr="1540DD9B">
        <w:rPr>
          <w:lang w:eastAsia="en-GB"/>
        </w:rPr>
        <w:t>because it was served by Mr Rumford</w:t>
      </w:r>
      <w:r w:rsidR="00736419">
        <w:rPr>
          <w:lang w:eastAsia="en-GB"/>
        </w:rPr>
        <w:t>,</w:t>
      </w:r>
      <w:r w:rsidR="00D3633A" w:rsidRPr="1540DD9B">
        <w:rPr>
          <w:lang w:eastAsia="en-GB"/>
        </w:rPr>
        <w:t xml:space="preserve"> </w:t>
      </w:r>
      <w:r w:rsidR="009A2172" w:rsidRPr="1540DD9B">
        <w:rPr>
          <w:lang w:eastAsia="en-GB"/>
        </w:rPr>
        <w:t xml:space="preserve">but that </w:t>
      </w:r>
      <w:r w:rsidR="00BE1CC6">
        <w:rPr>
          <w:lang w:eastAsia="en-GB"/>
        </w:rPr>
        <w:t xml:space="preserve">CrimPR 10.2 and 10.3 offered an alternative route to the preferment of the indictment; in any event the amended </w:t>
      </w:r>
      <w:r w:rsidR="00BE1CC6">
        <w:rPr>
          <w:lang w:eastAsia="en-GB"/>
        </w:rPr>
        <w:lastRenderedPageBreak/>
        <w:t>indictment preferred by prosecution counsel in court was valid</w:t>
      </w:r>
      <w:r w:rsidR="00C52B8C">
        <w:rPr>
          <w:lang w:eastAsia="en-GB"/>
        </w:rPr>
        <w:t xml:space="preserve">. </w:t>
      </w:r>
      <w:r w:rsidR="00D76424" w:rsidRPr="1540DD9B">
        <w:rPr>
          <w:lang w:eastAsia="en-GB"/>
        </w:rPr>
        <w:t>T</w:t>
      </w:r>
      <w:r w:rsidR="009A2172" w:rsidRPr="1540DD9B">
        <w:rPr>
          <w:lang w:eastAsia="en-GB"/>
        </w:rPr>
        <w:t>hat</w:t>
      </w:r>
      <w:r w:rsidR="00D3633A" w:rsidRPr="1540DD9B">
        <w:rPr>
          <w:lang w:eastAsia="en-GB"/>
        </w:rPr>
        <w:t xml:space="preserve"> approach </w:t>
      </w:r>
      <w:r w:rsidR="00D76424" w:rsidRPr="1540DD9B">
        <w:rPr>
          <w:lang w:eastAsia="en-GB"/>
        </w:rPr>
        <w:t xml:space="preserve">appears to have </w:t>
      </w:r>
      <w:r w:rsidR="00D3633A" w:rsidRPr="1540DD9B">
        <w:rPr>
          <w:lang w:eastAsia="en-GB"/>
        </w:rPr>
        <w:t>flowed from</w:t>
      </w:r>
      <w:r w:rsidR="005A6933" w:rsidRPr="1540DD9B">
        <w:rPr>
          <w:lang w:eastAsia="en-GB"/>
        </w:rPr>
        <w:t xml:space="preserve"> the</w:t>
      </w:r>
      <w:r w:rsidR="00D76424" w:rsidRPr="1540DD9B">
        <w:rPr>
          <w:lang w:eastAsia="en-GB"/>
        </w:rPr>
        <w:t xml:space="preserve"> way in which the </w:t>
      </w:r>
      <w:r w:rsidR="005A6933" w:rsidRPr="1540DD9B">
        <w:rPr>
          <w:lang w:eastAsia="en-GB"/>
        </w:rPr>
        <w:t>argument before the judge</w:t>
      </w:r>
      <w:r w:rsidR="00D76424" w:rsidRPr="1540DD9B">
        <w:rPr>
          <w:lang w:eastAsia="en-GB"/>
        </w:rPr>
        <w:t xml:space="preserve"> developed</w:t>
      </w:r>
      <w:r w:rsidR="00AE10A6" w:rsidRPr="1540DD9B">
        <w:rPr>
          <w:lang w:eastAsia="en-GB"/>
        </w:rPr>
        <w:t xml:space="preserve"> which</w:t>
      </w:r>
      <w:r w:rsidR="00D3633A" w:rsidRPr="1540DD9B">
        <w:rPr>
          <w:lang w:eastAsia="en-GB"/>
        </w:rPr>
        <w:t xml:space="preserve"> </w:t>
      </w:r>
      <w:r w:rsidR="002A1F6B" w:rsidRPr="1540DD9B">
        <w:rPr>
          <w:lang w:eastAsia="en-GB"/>
        </w:rPr>
        <w:t>treat</w:t>
      </w:r>
      <w:r w:rsidR="00AE10A6" w:rsidRPr="1540DD9B">
        <w:rPr>
          <w:lang w:eastAsia="en-GB"/>
        </w:rPr>
        <w:t>ed</w:t>
      </w:r>
      <w:r w:rsidR="002A1F6B" w:rsidRPr="1540DD9B">
        <w:rPr>
          <w:lang w:eastAsia="en-GB"/>
        </w:rPr>
        <w:t xml:space="preserve"> Mr Rumford as the prosecutor for the purposes of the rules rather than York.</w:t>
      </w:r>
    </w:p>
    <w:p w14:paraId="10EC5F90" w14:textId="2A810C43" w:rsidR="003B22FA" w:rsidRDefault="009E75E6" w:rsidP="00EA0C29">
      <w:pPr>
        <w:pStyle w:val="ParaLevel1"/>
        <w:rPr>
          <w:lang w:eastAsia="en-GB"/>
        </w:rPr>
      </w:pPr>
      <w:r w:rsidRPr="1540DD9B">
        <w:rPr>
          <w:lang w:eastAsia="en-GB"/>
        </w:rPr>
        <w:t xml:space="preserve">Finally, we turn to abuse of process. </w:t>
      </w:r>
      <w:r w:rsidR="00531EBF" w:rsidRPr="1540DD9B">
        <w:rPr>
          <w:lang w:eastAsia="en-GB"/>
        </w:rPr>
        <w:t xml:space="preserve">There is no suggestion that the defendants are unable to have a fair trial on account of </w:t>
      </w:r>
      <w:r w:rsidR="00F65EF8" w:rsidRPr="1540DD9B">
        <w:rPr>
          <w:lang w:eastAsia="en-GB"/>
        </w:rPr>
        <w:t>York failing to conduct the Crown Court litigation through an authorised litigator</w:t>
      </w:r>
      <w:r w:rsidR="491E17ED" w:rsidRPr="1540DD9B">
        <w:rPr>
          <w:lang w:eastAsia="en-GB"/>
        </w:rPr>
        <w:t xml:space="preserve">. </w:t>
      </w:r>
      <w:r w:rsidR="00F65EF8" w:rsidRPr="1540DD9B">
        <w:rPr>
          <w:lang w:eastAsia="en-GB"/>
        </w:rPr>
        <w:t xml:space="preserve">The appellant argues that </w:t>
      </w:r>
      <w:r w:rsidR="00D80C3F" w:rsidRPr="1540DD9B">
        <w:rPr>
          <w:lang w:eastAsia="en-GB"/>
        </w:rPr>
        <w:t>these proceedings should be stayed on what is known as “limb 2” abuse</w:t>
      </w:r>
      <w:r w:rsidR="00B1107F" w:rsidRPr="1540DD9B">
        <w:rPr>
          <w:lang w:eastAsia="en-GB"/>
        </w:rPr>
        <w:t xml:space="preserve"> </w:t>
      </w:r>
      <w:r w:rsidR="00BB4686" w:rsidRPr="1540DD9B">
        <w:rPr>
          <w:lang w:eastAsia="en-GB"/>
        </w:rPr>
        <w:t>on the ground that it would be unfair to try the accused because York thus far</w:t>
      </w:r>
      <w:r w:rsidR="00E434CD" w:rsidRPr="1540DD9B">
        <w:rPr>
          <w:lang w:eastAsia="en-GB"/>
        </w:rPr>
        <w:t xml:space="preserve"> has</w:t>
      </w:r>
      <w:r w:rsidR="00BB4686" w:rsidRPr="1540DD9B">
        <w:rPr>
          <w:lang w:eastAsia="en-GB"/>
        </w:rPr>
        <w:t xml:space="preserve"> conducted the Crown Court litigation without an authorised litigator.</w:t>
      </w:r>
      <w:r w:rsidR="00BD025A" w:rsidRPr="1540DD9B">
        <w:rPr>
          <w:lang w:eastAsia="en-GB"/>
        </w:rPr>
        <w:t xml:space="preserve"> Such a stay </w:t>
      </w:r>
      <w:r w:rsidR="00E434CD" w:rsidRPr="1540DD9B">
        <w:rPr>
          <w:lang w:eastAsia="en-GB"/>
        </w:rPr>
        <w:t xml:space="preserve">would </w:t>
      </w:r>
      <w:r w:rsidR="007310C4" w:rsidRPr="1540DD9B">
        <w:rPr>
          <w:lang w:eastAsia="en-GB"/>
        </w:rPr>
        <w:t>operate to protect the integrity of the criminal justice system.</w:t>
      </w:r>
      <w:r w:rsidR="00A96B2A" w:rsidRPr="1540DD9B">
        <w:rPr>
          <w:lang w:eastAsia="en-GB"/>
        </w:rPr>
        <w:t xml:space="preserve"> The effect of the stay would be to stop the proceedings permanently</w:t>
      </w:r>
      <w:r w:rsidR="00472352" w:rsidRPr="1540DD9B">
        <w:rPr>
          <w:lang w:eastAsia="en-GB"/>
        </w:rPr>
        <w:t>. It is argued</w:t>
      </w:r>
      <w:r w:rsidR="00A96B2A" w:rsidRPr="1540DD9B">
        <w:rPr>
          <w:lang w:eastAsia="en-GB"/>
        </w:rPr>
        <w:t xml:space="preserve"> that </w:t>
      </w:r>
      <w:r w:rsidR="00260866" w:rsidRPr="1540DD9B">
        <w:rPr>
          <w:lang w:eastAsia="en-GB"/>
        </w:rPr>
        <w:t>the conduct of these proceedings thus far by York is irredeemable</w:t>
      </w:r>
      <w:r w:rsidR="009D4D91" w:rsidRPr="1540DD9B">
        <w:rPr>
          <w:lang w:eastAsia="en-GB"/>
        </w:rPr>
        <w:t xml:space="preserve">; that the involvement of counsel at all stages makes no difference; and that </w:t>
      </w:r>
      <w:r w:rsidR="00017AC1">
        <w:rPr>
          <w:lang w:eastAsia="en-GB"/>
        </w:rPr>
        <w:t xml:space="preserve">the </w:t>
      </w:r>
      <w:r w:rsidR="009D4D91" w:rsidRPr="1540DD9B">
        <w:rPr>
          <w:lang w:eastAsia="en-GB"/>
        </w:rPr>
        <w:t xml:space="preserve">involvement of solicitors </w:t>
      </w:r>
      <w:r w:rsidR="006266B1" w:rsidRPr="1540DD9B">
        <w:rPr>
          <w:lang w:eastAsia="en-GB"/>
        </w:rPr>
        <w:t>now the error has been identified would make no difference.</w:t>
      </w:r>
    </w:p>
    <w:p w14:paraId="1A8FC9DE" w14:textId="4BDCF0B5" w:rsidR="007310C4" w:rsidRDefault="007310C4" w:rsidP="00EA0C29">
      <w:pPr>
        <w:pStyle w:val="ParaLevel1"/>
        <w:rPr>
          <w:lang w:eastAsia="en-GB"/>
        </w:rPr>
      </w:pPr>
      <w:r w:rsidRPr="1540DD9B">
        <w:rPr>
          <w:lang w:eastAsia="en-GB"/>
        </w:rPr>
        <w:t>Examples of limb 2 abuse</w:t>
      </w:r>
      <w:r w:rsidR="009D36CB" w:rsidRPr="1540DD9B">
        <w:rPr>
          <w:lang w:eastAsia="en-GB"/>
        </w:rPr>
        <w:t xml:space="preserve"> </w:t>
      </w:r>
      <w:r w:rsidR="003A06E1" w:rsidRPr="1540DD9B">
        <w:rPr>
          <w:lang w:eastAsia="en-GB"/>
        </w:rPr>
        <w:t xml:space="preserve">arise in connection with bad faith on the part of the prosecution, </w:t>
      </w:r>
      <w:bookmarkStart w:id="99" w:name="_Int_G4hwdalR"/>
      <w:r w:rsidR="003A06E1" w:rsidRPr="1540DD9B">
        <w:rPr>
          <w:lang w:eastAsia="en-GB"/>
        </w:rPr>
        <w:t>unlawfulness</w:t>
      </w:r>
      <w:bookmarkEnd w:id="99"/>
      <w:r w:rsidR="003A06E1" w:rsidRPr="1540DD9B">
        <w:rPr>
          <w:lang w:eastAsia="en-GB"/>
        </w:rPr>
        <w:t xml:space="preserve"> or</w:t>
      </w:r>
      <w:r w:rsidR="003C55BB" w:rsidRPr="1540DD9B">
        <w:rPr>
          <w:lang w:eastAsia="en-GB"/>
        </w:rPr>
        <w:t xml:space="preserve"> executive misconduct. </w:t>
      </w:r>
      <w:r w:rsidR="004948FA" w:rsidRPr="1540DD9B">
        <w:rPr>
          <w:lang w:eastAsia="en-GB"/>
        </w:rPr>
        <w:t xml:space="preserve">Well-known examples include </w:t>
      </w:r>
      <w:r w:rsidR="004948FA" w:rsidRPr="1540DD9B">
        <w:rPr>
          <w:i/>
          <w:iCs/>
          <w:lang w:eastAsia="en-GB"/>
        </w:rPr>
        <w:t>R v. Horseferry Road Magistrates’ Court e</w:t>
      </w:r>
      <w:r w:rsidR="00385548" w:rsidRPr="1540DD9B">
        <w:rPr>
          <w:i/>
          <w:iCs/>
          <w:lang w:eastAsia="en-GB"/>
        </w:rPr>
        <w:t>x</w:t>
      </w:r>
      <w:r w:rsidR="004948FA" w:rsidRPr="1540DD9B">
        <w:rPr>
          <w:i/>
          <w:iCs/>
          <w:lang w:eastAsia="en-GB"/>
        </w:rPr>
        <w:t xml:space="preserve"> parte Bennet</w:t>
      </w:r>
      <w:r w:rsidR="007126F5" w:rsidRPr="1540DD9B">
        <w:rPr>
          <w:i/>
          <w:iCs/>
          <w:lang w:eastAsia="en-GB"/>
        </w:rPr>
        <w:t>t</w:t>
      </w:r>
      <w:r w:rsidR="004948FA" w:rsidRPr="1540DD9B">
        <w:rPr>
          <w:i/>
          <w:iCs/>
          <w:lang w:eastAsia="en-GB"/>
        </w:rPr>
        <w:t xml:space="preserve"> </w:t>
      </w:r>
      <w:r w:rsidR="004948FA" w:rsidRPr="1540DD9B">
        <w:rPr>
          <w:lang w:eastAsia="en-GB"/>
        </w:rPr>
        <w:t>[</w:t>
      </w:r>
      <w:r w:rsidR="00850C0B" w:rsidRPr="1540DD9B">
        <w:rPr>
          <w:lang w:eastAsia="en-GB"/>
        </w:rPr>
        <w:t>1994] 1 AC 42 where the defendant was</w:t>
      </w:r>
      <w:r w:rsidR="00FB7E31" w:rsidRPr="1540DD9B">
        <w:rPr>
          <w:lang w:eastAsia="en-GB"/>
        </w:rPr>
        <w:t xml:space="preserve"> </w:t>
      </w:r>
      <w:r w:rsidR="002235DC" w:rsidRPr="1540DD9B">
        <w:rPr>
          <w:lang w:eastAsia="en-GB"/>
        </w:rPr>
        <w:t>brought back to the United Kingdom</w:t>
      </w:r>
      <w:r w:rsidR="00FB7E31" w:rsidRPr="1540DD9B">
        <w:rPr>
          <w:lang w:eastAsia="en-GB"/>
        </w:rPr>
        <w:t xml:space="preserve"> in </w:t>
      </w:r>
      <w:r w:rsidR="007476CE" w:rsidRPr="1540DD9B">
        <w:rPr>
          <w:lang w:eastAsia="en-GB"/>
        </w:rPr>
        <w:t>breach of extradition arrangements</w:t>
      </w:r>
      <w:r w:rsidR="0031384F" w:rsidRPr="1540DD9B">
        <w:rPr>
          <w:lang w:eastAsia="en-GB"/>
        </w:rPr>
        <w:t xml:space="preserve"> and </w:t>
      </w:r>
      <w:r w:rsidR="0031384F" w:rsidRPr="1540DD9B">
        <w:rPr>
          <w:i/>
          <w:iCs/>
          <w:lang w:eastAsia="en-GB"/>
        </w:rPr>
        <w:t>R v. Mullen</w:t>
      </w:r>
      <w:r w:rsidR="5DAC5E21" w:rsidRPr="1540DD9B">
        <w:rPr>
          <w:i/>
          <w:iCs/>
          <w:lang w:eastAsia="en-GB"/>
        </w:rPr>
        <w:t xml:space="preserve"> </w:t>
      </w:r>
      <w:r w:rsidR="5DAC5E21" w:rsidRPr="1540DD9B">
        <w:rPr>
          <w:lang w:eastAsia="en-GB"/>
        </w:rPr>
        <w:t>[2000] QB 520</w:t>
      </w:r>
      <w:r w:rsidR="0031384F" w:rsidRPr="1540DD9B">
        <w:rPr>
          <w:i/>
          <w:iCs/>
          <w:lang w:eastAsia="en-GB"/>
        </w:rPr>
        <w:t xml:space="preserve"> </w:t>
      </w:r>
      <w:r w:rsidR="0031384F" w:rsidRPr="1540DD9B">
        <w:rPr>
          <w:lang w:eastAsia="en-GB"/>
        </w:rPr>
        <w:t xml:space="preserve">where the </w:t>
      </w:r>
      <w:r w:rsidR="002259BF" w:rsidRPr="1540DD9B">
        <w:rPr>
          <w:lang w:eastAsia="en-GB"/>
        </w:rPr>
        <w:t xml:space="preserve">United Kingdom law enforcement agencies procured the </w:t>
      </w:r>
      <w:r w:rsidR="00BB376F" w:rsidRPr="1540DD9B">
        <w:rPr>
          <w:lang w:eastAsia="en-GB"/>
        </w:rPr>
        <w:t>unlawful deportation of the defendant from Zimbabwe to the United Kingdom</w:t>
      </w:r>
      <w:r w:rsidR="00CA498B" w:rsidRPr="1540DD9B">
        <w:rPr>
          <w:lang w:eastAsia="en-GB"/>
        </w:rPr>
        <w:t xml:space="preserve">; </w:t>
      </w:r>
      <w:r w:rsidR="00803BD5" w:rsidRPr="1540DD9B">
        <w:rPr>
          <w:i/>
          <w:iCs/>
          <w:lang w:eastAsia="en-GB"/>
        </w:rPr>
        <w:t xml:space="preserve">R v. Bloomfield </w:t>
      </w:r>
      <w:r w:rsidR="00803BD5" w:rsidRPr="1540DD9B">
        <w:rPr>
          <w:lang w:eastAsia="en-GB"/>
        </w:rPr>
        <w:t>[1997] 1 CR App R 135</w:t>
      </w:r>
      <w:r w:rsidR="00C31B40" w:rsidRPr="1540DD9B">
        <w:rPr>
          <w:lang w:eastAsia="en-GB"/>
        </w:rPr>
        <w:t xml:space="preserve"> where </w:t>
      </w:r>
      <w:r w:rsidR="00CA498B" w:rsidRPr="1540DD9B">
        <w:rPr>
          <w:lang w:eastAsia="en-GB"/>
        </w:rPr>
        <w:t xml:space="preserve">going back on an assurance that </w:t>
      </w:r>
      <w:r w:rsidR="00F70E12" w:rsidRPr="1540DD9B">
        <w:rPr>
          <w:lang w:eastAsia="en-GB"/>
        </w:rPr>
        <w:t>no evidence will be offered</w:t>
      </w:r>
      <w:r w:rsidR="00CA498B" w:rsidRPr="1540DD9B">
        <w:rPr>
          <w:lang w:eastAsia="en-GB"/>
        </w:rPr>
        <w:t xml:space="preserve"> </w:t>
      </w:r>
      <w:r w:rsidR="00C31B40" w:rsidRPr="1540DD9B">
        <w:rPr>
          <w:lang w:eastAsia="en-GB"/>
        </w:rPr>
        <w:t xml:space="preserve">when </w:t>
      </w:r>
      <w:r w:rsidR="00CA498B" w:rsidRPr="1540DD9B">
        <w:rPr>
          <w:lang w:eastAsia="en-GB"/>
        </w:rPr>
        <w:t>there was no material change of circumstance</w:t>
      </w:r>
      <w:r w:rsidR="00D9344C" w:rsidRPr="1540DD9B">
        <w:rPr>
          <w:lang w:eastAsia="en-GB"/>
        </w:rPr>
        <w:t xml:space="preserve"> would bring the administration of justice into disrepute</w:t>
      </w:r>
      <w:r w:rsidR="00803BD5" w:rsidRPr="1540DD9B">
        <w:rPr>
          <w:lang w:eastAsia="en-GB"/>
        </w:rPr>
        <w:t>;</w:t>
      </w:r>
      <w:r w:rsidR="00DC4480" w:rsidRPr="1540DD9B">
        <w:rPr>
          <w:lang w:eastAsia="en-GB"/>
        </w:rPr>
        <w:t xml:space="preserve"> </w:t>
      </w:r>
      <w:r w:rsidR="00F91301" w:rsidRPr="1540DD9B">
        <w:rPr>
          <w:i/>
          <w:iCs/>
          <w:lang w:eastAsia="en-GB"/>
        </w:rPr>
        <w:t>AG</w:t>
      </w:r>
      <w:r w:rsidR="005D45F3" w:rsidRPr="1540DD9B">
        <w:rPr>
          <w:i/>
          <w:iCs/>
          <w:lang w:eastAsia="en-GB"/>
        </w:rPr>
        <w:t>’s Ref (No 3 of 2000)(</w:t>
      </w:r>
      <w:r w:rsidR="00DC4480" w:rsidRPr="1540DD9B">
        <w:rPr>
          <w:i/>
          <w:iCs/>
          <w:lang w:eastAsia="en-GB"/>
        </w:rPr>
        <w:t>Looseley</w:t>
      </w:r>
      <w:r w:rsidR="005D45F3" w:rsidRPr="1540DD9B">
        <w:rPr>
          <w:i/>
          <w:iCs/>
          <w:lang w:eastAsia="en-GB"/>
        </w:rPr>
        <w:t xml:space="preserve">) </w:t>
      </w:r>
      <w:r w:rsidR="005D45F3" w:rsidRPr="1540DD9B">
        <w:rPr>
          <w:lang w:eastAsia="en-GB"/>
        </w:rPr>
        <w:t>[2001</w:t>
      </w:r>
      <w:r w:rsidR="00557A9B" w:rsidRPr="1540DD9B">
        <w:rPr>
          <w:lang w:eastAsia="en-GB"/>
        </w:rPr>
        <w:t>] 1 WLR 2060</w:t>
      </w:r>
      <w:r w:rsidR="00C356FE" w:rsidRPr="1540DD9B">
        <w:rPr>
          <w:lang w:eastAsia="en-GB"/>
        </w:rPr>
        <w:t>, an example</w:t>
      </w:r>
      <w:r w:rsidR="00F91301" w:rsidRPr="1540DD9B">
        <w:rPr>
          <w:lang w:eastAsia="en-GB"/>
        </w:rPr>
        <w:t xml:space="preserve"> where entrapment</w:t>
      </w:r>
      <w:r w:rsidR="00557A9B" w:rsidRPr="1540DD9B">
        <w:rPr>
          <w:lang w:eastAsia="en-GB"/>
        </w:rPr>
        <w:t xml:space="preserve"> by the police </w:t>
      </w:r>
      <w:r w:rsidR="00153DEF" w:rsidRPr="1540DD9B">
        <w:rPr>
          <w:lang w:eastAsia="en-GB"/>
        </w:rPr>
        <w:t>was so seriously improper as to bring  the administration of justice into disrepute.</w:t>
      </w:r>
      <w:r w:rsidR="00F91301" w:rsidRPr="1540DD9B">
        <w:rPr>
          <w:lang w:eastAsia="en-GB"/>
        </w:rPr>
        <w:t xml:space="preserve"> </w:t>
      </w:r>
    </w:p>
    <w:p w14:paraId="140CF72D" w14:textId="730F7617" w:rsidR="00021066" w:rsidRDefault="00BD17E4" w:rsidP="00EA0C29">
      <w:pPr>
        <w:pStyle w:val="ParaLevel1"/>
        <w:rPr>
          <w:lang w:eastAsia="en-GB"/>
        </w:rPr>
      </w:pPr>
      <w:r w:rsidRPr="1540DD9B">
        <w:rPr>
          <w:lang w:eastAsia="en-GB"/>
        </w:rPr>
        <w:t>Like the judge, we consider that the circumstances in which Yo</w:t>
      </w:r>
      <w:r w:rsidR="004A312A" w:rsidRPr="1540DD9B">
        <w:rPr>
          <w:lang w:eastAsia="en-GB"/>
        </w:rPr>
        <w:t>r</w:t>
      </w:r>
      <w:r w:rsidRPr="1540DD9B">
        <w:rPr>
          <w:lang w:eastAsia="en-GB"/>
        </w:rPr>
        <w:t xml:space="preserve">k came to </w:t>
      </w:r>
      <w:r w:rsidR="0034273F" w:rsidRPr="1540DD9B">
        <w:rPr>
          <w:lang w:eastAsia="en-GB"/>
        </w:rPr>
        <w:t>overlook the need to conduct the litigation in the Crown Court</w:t>
      </w:r>
      <w:r w:rsidR="00D04D02" w:rsidRPr="1540DD9B">
        <w:rPr>
          <w:lang w:eastAsia="en-GB"/>
        </w:rPr>
        <w:t xml:space="preserve"> through an authorised professional is </w:t>
      </w:r>
      <w:r w:rsidR="00785C21" w:rsidRPr="1540DD9B">
        <w:rPr>
          <w:lang w:eastAsia="en-GB"/>
        </w:rPr>
        <w:t>far</w:t>
      </w:r>
      <w:r w:rsidR="00D04D02" w:rsidRPr="1540DD9B">
        <w:rPr>
          <w:lang w:eastAsia="en-GB"/>
        </w:rPr>
        <w:t xml:space="preserve"> removed from the sort of conduct that could found a</w:t>
      </w:r>
      <w:r w:rsidR="004A312A" w:rsidRPr="1540DD9B">
        <w:rPr>
          <w:lang w:eastAsia="en-GB"/>
        </w:rPr>
        <w:t xml:space="preserve"> successful limb 2 abuse argument.</w:t>
      </w:r>
      <w:r w:rsidR="00CA400E" w:rsidRPr="1540DD9B">
        <w:rPr>
          <w:lang w:eastAsia="en-GB"/>
        </w:rPr>
        <w:t xml:space="preserve"> </w:t>
      </w:r>
      <w:r w:rsidR="00107B61" w:rsidRPr="1540DD9B">
        <w:rPr>
          <w:lang w:eastAsia="en-GB"/>
        </w:rPr>
        <w:t>W</w:t>
      </w:r>
      <w:r w:rsidR="00CA400E" w:rsidRPr="1540DD9B">
        <w:rPr>
          <w:lang w:eastAsia="en-GB"/>
        </w:rPr>
        <w:t>he</w:t>
      </w:r>
      <w:r w:rsidR="00107B61" w:rsidRPr="1540DD9B">
        <w:rPr>
          <w:lang w:eastAsia="en-GB"/>
        </w:rPr>
        <w:t xml:space="preserve">n </w:t>
      </w:r>
      <w:r w:rsidR="00CA400E" w:rsidRPr="1540DD9B">
        <w:rPr>
          <w:lang w:eastAsia="en-GB"/>
        </w:rPr>
        <w:t>the statutory scheme does not invalidate the proceedings</w:t>
      </w:r>
      <w:r w:rsidR="00107B61" w:rsidRPr="1540DD9B">
        <w:rPr>
          <w:lang w:eastAsia="en-GB"/>
        </w:rPr>
        <w:t xml:space="preserve"> </w:t>
      </w:r>
      <w:bookmarkStart w:id="100" w:name="_Int_ZsFKLnNW"/>
      <w:r w:rsidR="00107B61" w:rsidRPr="1540DD9B">
        <w:rPr>
          <w:lang w:eastAsia="en-GB"/>
        </w:rPr>
        <w:t>as a result of</w:t>
      </w:r>
      <w:bookmarkEnd w:id="100"/>
      <w:r w:rsidR="00107B61" w:rsidRPr="1540DD9B">
        <w:rPr>
          <w:lang w:eastAsia="en-GB"/>
        </w:rPr>
        <w:t xml:space="preserve"> what has occurred</w:t>
      </w:r>
      <w:r w:rsidR="00423BB7" w:rsidRPr="1540DD9B">
        <w:rPr>
          <w:lang w:eastAsia="en-GB"/>
        </w:rPr>
        <w:t xml:space="preserve"> it is difficult to envisage</w:t>
      </w:r>
      <w:r w:rsidR="007D449D" w:rsidRPr="1540DD9B">
        <w:rPr>
          <w:lang w:eastAsia="en-GB"/>
        </w:rPr>
        <w:t xml:space="preserve"> that a mistake of this nature could bring the administration of justice into disrepute</w:t>
      </w:r>
      <w:r w:rsidR="007A4E91" w:rsidRPr="1540DD9B">
        <w:rPr>
          <w:lang w:eastAsia="en-GB"/>
        </w:rPr>
        <w:t xml:space="preserve"> to the extent necessary to bring the proceedings effectively to an end</w:t>
      </w:r>
      <w:r w:rsidR="539A65E1" w:rsidRPr="1540DD9B">
        <w:rPr>
          <w:lang w:eastAsia="en-GB"/>
        </w:rPr>
        <w:t xml:space="preserve">. </w:t>
      </w:r>
      <w:r w:rsidR="00740279" w:rsidRPr="1540DD9B">
        <w:rPr>
          <w:lang w:eastAsia="en-GB"/>
        </w:rPr>
        <w:t>In this case the mistake had no adverse impact</w:t>
      </w:r>
      <w:r w:rsidR="001C1D1A" w:rsidRPr="1540DD9B">
        <w:rPr>
          <w:lang w:eastAsia="en-GB"/>
        </w:rPr>
        <w:t xml:space="preserve"> on the defendants</w:t>
      </w:r>
      <w:r w:rsidR="00015132" w:rsidRPr="1540DD9B">
        <w:rPr>
          <w:lang w:eastAsia="en-GB"/>
        </w:rPr>
        <w:t>.</w:t>
      </w:r>
      <w:r w:rsidR="009C54C8" w:rsidRPr="1540DD9B">
        <w:rPr>
          <w:lang w:eastAsia="en-GB"/>
        </w:rPr>
        <w:t xml:space="preserve"> There was no bad faith</w:t>
      </w:r>
      <w:r w:rsidR="00021066" w:rsidRPr="1540DD9B">
        <w:rPr>
          <w:lang w:eastAsia="en-GB"/>
        </w:rPr>
        <w:t>.</w:t>
      </w:r>
    </w:p>
    <w:p w14:paraId="1862119E" w14:textId="026656AC" w:rsidR="00BD17E4" w:rsidRDefault="00443973" w:rsidP="00EA0C29">
      <w:pPr>
        <w:pStyle w:val="ParaLevel1"/>
        <w:rPr>
          <w:lang w:eastAsia="en-GB"/>
        </w:rPr>
      </w:pPr>
      <w:r w:rsidRPr="1540DD9B">
        <w:rPr>
          <w:lang w:eastAsia="en-GB"/>
        </w:rPr>
        <w:t xml:space="preserve">The judge </w:t>
      </w:r>
      <w:r w:rsidR="00021066" w:rsidRPr="1540DD9B">
        <w:rPr>
          <w:lang w:eastAsia="en-GB"/>
        </w:rPr>
        <w:t>rejected</w:t>
      </w:r>
      <w:r w:rsidRPr="1540DD9B">
        <w:rPr>
          <w:lang w:eastAsia="en-GB"/>
        </w:rPr>
        <w:t xml:space="preserve"> a very much wider abuse of process argument concerning both the York and Bristol cases</w:t>
      </w:r>
      <w:r w:rsidR="00021066" w:rsidRPr="1540DD9B">
        <w:rPr>
          <w:lang w:eastAsia="en-GB"/>
        </w:rPr>
        <w:t xml:space="preserve"> of which this aspect formed a small part</w:t>
      </w:r>
      <w:r w:rsidR="004F1AC6" w:rsidRPr="1540DD9B">
        <w:rPr>
          <w:lang w:eastAsia="en-GB"/>
        </w:rPr>
        <w:t xml:space="preserve">. </w:t>
      </w:r>
      <w:r w:rsidR="00C01B63" w:rsidRPr="1540DD9B">
        <w:rPr>
          <w:lang w:eastAsia="en-GB"/>
        </w:rPr>
        <w:t>On the</w:t>
      </w:r>
      <w:r w:rsidR="00060C5A" w:rsidRPr="1540DD9B">
        <w:rPr>
          <w:lang w:eastAsia="en-GB"/>
        </w:rPr>
        <w:t xml:space="preserve"> discrete</w:t>
      </w:r>
      <w:r w:rsidR="00C01B63" w:rsidRPr="1540DD9B">
        <w:rPr>
          <w:lang w:eastAsia="en-GB"/>
        </w:rPr>
        <w:t xml:space="preserve"> point that is live before us he concluded that the </w:t>
      </w:r>
      <w:r w:rsidR="00F80BA0" w:rsidRPr="1540DD9B">
        <w:rPr>
          <w:lang w:eastAsia="en-GB"/>
        </w:rPr>
        <w:t>“shortcut” (as he put it) in not instructing the inhouse lawyers to conduct the litigation</w:t>
      </w:r>
      <w:r w:rsidR="00017FA3" w:rsidRPr="1540DD9B">
        <w:rPr>
          <w:lang w:eastAsia="en-GB"/>
        </w:rPr>
        <w:t xml:space="preserve"> could not be characterised as seriously improper or an attempt to “subvert or bypass</w:t>
      </w:r>
      <w:r w:rsidR="006431A0" w:rsidRPr="1540DD9B">
        <w:rPr>
          <w:lang w:eastAsia="en-GB"/>
        </w:rPr>
        <w:t xml:space="preserve"> protections and safeguards</w:t>
      </w:r>
      <w:bookmarkStart w:id="101" w:name="_Int_UAmOuC5A"/>
      <w:r w:rsidR="006431A0" w:rsidRPr="1540DD9B">
        <w:rPr>
          <w:lang w:eastAsia="en-GB"/>
        </w:rPr>
        <w:t>”.</w:t>
      </w:r>
      <w:bookmarkEnd w:id="101"/>
      <w:r w:rsidR="006431A0" w:rsidRPr="1540DD9B">
        <w:rPr>
          <w:lang w:eastAsia="en-GB"/>
        </w:rPr>
        <w:t xml:space="preserve"> He continued:</w:t>
      </w:r>
    </w:p>
    <w:p w14:paraId="1E6460B5" w14:textId="09BD4A12" w:rsidR="006431A0" w:rsidRDefault="006431A0" w:rsidP="00EA0C29">
      <w:pPr>
        <w:pStyle w:val="Quote"/>
        <w:rPr>
          <w:lang w:eastAsia="en-GB"/>
        </w:rPr>
      </w:pPr>
      <w:r w:rsidRPr="1540DD9B">
        <w:rPr>
          <w:lang w:eastAsia="en-GB"/>
        </w:rPr>
        <w:t xml:space="preserve">“Although Mr Rumford </w:t>
      </w:r>
      <w:r w:rsidR="00DF435B" w:rsidRPr="1540DD9B">
        <w:rPr>
          <w:lang w:eastAsia="en-GB"/>
        </w:rPr>
        <w:t xml:space="preserve">is not a lawyer and has no professional duty as such, he has acted, in my view, as scrupulously as possible throughout. Where he acted in the capacity of </w:t>
      </w:r>
      <w:r w:rsidR="00BE0171" w:rsidRPr="1540DD9B">
        <w:rPr>
          <w:lang w:eastAsia="en-GB"/>
        </w:rPr>
        <w:t>“</w:t>
      </w:r>
      <w:r w:rsidR="00DF435B" w:rsidRPr="1540DD9B">
        <w:rPr>
          <w:lang w:eastAsia="en-GB"/>
        </w:rPr>
        <w:t>reviewing lawyer as decision maker</w:t>
      </w:r>
      <w:bookmarkStart w:id="102" w:name="_Int_hUTD85ui"/>
      <w:r w:rsidR="00BB7825" w:rsidRPr="1540DD9B">
        <w:rPr>
          <w:lang w:eastAsia="en-GB"/>
        </w:rPr>
        <w:t>”</w:t>
      </w:r>
      <w:r w:rsidR="00DF435B" w:rsidRPr="1540DD9B">
        <w:rPr>
          <w:lang w:eastAsia="en-GB"/>
        </w:rPr>
        <w:t>,</w:t>
      </w:r>
      <w:bookmarkEnd w:id="102"/>
      <w:r w:rsidR="00DF435B" w:rsidRPr="1540DD9B">
        <w:rPr>
          <w:lang w:eastAsia="en-GB"/>
        </w:rPr>
        <w:t xml:space="preserve"> such as in commencing proceedings, having </w:t>
      </w:r>
      <w:bookmarkStart w:id="103" w:name="_Int_3zbZ3Ovh"/>
      <w:r w:rsidR="00DF435B" w:rsidRPr="1540DD9B">
        <w:rPr>
          <w:lang w:eastAsia="en-GB"/>
        </w:rPr>
        <w:t>an indictment</w:t>
      </w:r>
      <w:bookmarkEnd w:id="103"/>
      <w:r w:rsidR="00DF435B" w:rsidRPr="1540DD9B">
        <w:rPr>
          <w:lang w:eastAsia="en-GB"/>
        </w:rPr>
        <w:t xml:space="preserve"> drafted and on disclosure, he has leaned heavily upon instructed counsel. He takes </w:t>
      </w:r>
      <w:r w:rsidR="00DF435B" w:rsidRPr="1540DD9B">
        <w:rPr>
          <w:lang w:eastAsia="en-GB"/>
        </w:rPr>
        <w:lastRenderedPageBreak/>
        <w:t>responsibility as prosecutor for those decisions</w:t>
      </w:r>
      <w:r w:rsidR="00BB7825" w:rsidRPr="1540DD9B">
        <w:rPr>
          <w:lang w:eastAsia="en-GB"/>
        </w:rPr>
        <w:t xml:space="preserve"> </w:t>
      </w:r>
      <w:r w:rsidR="00BE0171" w:rsidRPr="1540DD9B">
        <w:rPr>
          <w:lang w:eastAsia="en-GB"/>
        </w:rPr>
        <w:t xml:space="preserve">- which is one of the main reasons why I have found that he was </w:t>
      </w:r>
      <w:r w:rsidR="00BB7825" w:rsidRPr="1540DD9B">
        <w:rPr>
          <w:lang w:eastAsia="en-GB"/>
        </w:rPr>
        <w:t>“</w:t>
      </w:r>
      <w:r w:rsidR="00BE0171" w:rsidRPr="1540DD9B">
        <w:rPr>
          <w:lang w:eastAsia="en-GB"/>
        </w:rPr>
        <w:t xml:space="preserve">conducting litigation” in this case. He may not have been authorised to do so, but </w:t>
      </w:r>
      <w:bookmarkStart w:id="104" w:name="_Int_HBhsnbUz"/>
      <w:r w:rsidR="00BE0171" w:rsidRPr="1540DD9B">
        <w:rPr>
          <w:lang w:eastAsia="en-GB"/>
        </w:rPr>
        <w:t>I find that he</w:t>
      </w:r>
      <w:bookmarkEnd w:id="104"/>
      <w:r w:rsidR="00BE0171" w:rsidRPr="1540DD9B">
        <w:rPr>
          <w:lang w:eastAsia="en-GB"/>
        </w:rPr>
        <w:t xml:space="preserve"> made every attempt to do so fairly.</w:t>
      </w:r>
      <w:r w:rsidR="00BB7825" w:rsidRPr="1540DD9B">
        <w:rPr>
          <w:lang w:eastAsia="en-GB"/>
        </w:rPr>
        <w:t>”</w:t>
      </w:r>
    </w:p>
    <w:p w14:paraId="79BC214A" w14:textId="4C1C8121" w:rsidR="006431A0" w:rsidRDefault="00A647B1" w:rsidP="00EA0C29">
      <w:pPr>
        <w:pStyle w:val="ParaLevel1"/>
        <w:rPr>
          <w:lang w:eastAsia="en-GB"/>
        </w:rPr>
      </w:pPr>
      <w:r w:rsidRPr="1540DD9B">
        <w:rPr>
          <w:lang w:eastAsia="en-GB"/>
        </w:rPr>
        <w:t>That was clearly right.</w:t>
      </w:r>
    </w:p>
    <w:p w14:paraId="1F85F968" w14:textId="2EFE3DEA" w:rsidR="00A647B1" w:rsidRPr="00457B47" w:rsidRDefault="00D35554" w:rsidP="00EA0C29">
      <w:pPr>
        <w:pStyle w:val="ParaLevel1"/>
        <w:numPr>
          <w:ilvl w:val="0"/>
          <w:numId w:val="0"/>
        </w:numPr>
        <w:rPr>
          <w:b/>
          <w:bCs/>
          <w:lang w:eastAsia="en-GB"/>
        </w:rPr>
      </w:pPr>
      <w:r>
        <w:rPr>
          <w:b/>
          <w:bCs/>
          <w:lang w:eastAsia="en-GB"/>
        </w:rPr>
        <w:t xml:space="preserve">Overall </w:t>
      </w:r>
      <w:r w:rsidR="00457B47">
        <w:rPr>
          <w:b/>
          <w:bCs/>
          <w:lang w:eastAsia="en-GB"/>
        </w:rPr>
        <w:t>Conclusions</w:t>
      </w:r>
    </w:p>
    <w:p w14:paraId="271DDDFB" w14:textId="5C1F1CAF" w:rsidR="00A647B1" w:rsidRDefault="00154240" w:rsidP="00EA0C29">
      <w:pPr>
        <w:pStyle w:val="ParaLevel1"/>
        <w:rPr>
          <w:lang w:eastAsia="en-GB"/>
        </w:rPr>
      </w:pPr>
      <w:r w:rsidRPr="1540DD9B">
        <w:rPr>
          <w:lang w:eastAsia="en-GB"/>
        </w:rPr>
        <w:t>In respect of the issues before us our conclusions are as follows:</w:t>
      </w:r>
    </w:p>
    <w:p w14:paraId="75268568" w14:textId="2B4F6975" w:rsidR="00B87F7B" w:rsidRDefault="00B87F7B" w:rsidP="00EA0C29">
      <w:pPr>
        <w:pStyle w:val="ParaLevel2"/>
      </w:pPr>
      <w:r>
        <w:t>The indicted offences of money laundering and conspiracy to defraud qualify as consumer offences under paragraph 46(2)(d) of schedule 5 to the CRA 2015 by virtue of “originating from an investigation into” a consumer breach</w:t>
      </w:r>
      <w:r w:rsidR="00553177">
        <w:t xml:space="preserve"> (Issue 1).</w:t>
      </w:r>
    </w:p>
    <w:p w14:paraId="61D8D67F" w14:textId="2095C66A" w:rsidR="00B87F7B" w:rsidRDefault="00B87F7B" w:rsidP="00EA0C29">
      <w:pPr>
        <w:pStyle w:val="ParaLevel2"/>
      </w:pPr>
      <w:r>
        <w:t>Birmingham was not required by section 401(2)(b) of the Financial Services and Markets Act 2000 to obtain the Director of Public Prosecution’s consent before prosecuting the charge of illegal moneylending under that Act</w:t>
      </w:r>
      <w:r w:rsidR="00553177">
        <w:t xml:space="preserve"> (Issue 2).</w:t>
      </w:r>
    </w:p>
    <w:p w14:paraId="726AEA8D" w14:textId="1D5B2665" w:rsidR="00C634EE" w:rsidRDefault="00B87F7B" w:rsidP="00EA0C29">
      <w:pPr>
        <w:pStyle w:val="ParaLevel2"/>
      </w:pPr>
      <w:r>
        <w:t>HHJ Burn’s indication in the York case requiring the prosecution to elect between conspiracy to defraud and money laundering charges in relation to BIM</w:t>
      </w:r>
      <w:r w:rsidR="00C634EE">
        <w:t xml:space="preserve"> did not give rise to</w:t>
      </w:r>
      <w:r>
        <w:t xml:space="preserve"> an appealable ruling</w:t>
      </w:r>
      <w:r w:rsidR="00CC1A76">
        <w:t xml:space="preserve"> (Issue 3)</w:t>
      </w:r>
      <w:r w:rsidR="00C634EE">
        <w:t>.</w:t>
      </w:r>
    </w:p>
    <w:p w14:paraId="7E441BCD" w14:textId="79D98A5F" w:rsidR="00B87F7B" w:rsidRDefault="000734A9" w:rsidP="00EA0C29">
      <w:pPr>
        <w:pStyle w:val="ParaLevel2"/>
      </w:pPr>
      <w:r>
        <w:t>In light of our conclusions on the first and second issues, that</w:t>
      </w:r>
      <w:r w:rsidR="00C634EE">
        <w:t xml:space="preserve"> concerning the </w:t>
      </w:r>
      <w:r w:rsidR="00B87F7B">
        <w:t>agreement between Bristol and York under section 101(1)(b) of the LGA 1972</w:t>
      </w:r>
      <w:r w:rsidR="00CC1A76">
        <w:t xml:space="preserve"> (Issue 4)</w:t>
      </w:r>
      <w:r w:rsidR="00C634EE">
        <w:t xml:space="preserve"> does not arise</w:t>
      </w:r>
      <w:r w:rsidR="008B7895">
        <w:t xml:space="preserve"> and neither does the issue relating to York’s </w:t>
      </w:r>
      <w:bookmarkStart w:id="105" w:name="_Int_DzCqEB3y"/>
      <w:r w:rsidR="00B87F7B">
        <w:t>jurisdiction</w:t>
      </w:r>
      <w:bookmarkEnd w:id="105"/>
      <w:r w:rsidR="00B87F7B">
        <w:t xml:space="preserve"> to prosecute counts 4 to 7 by reason of satisfying the expediency test under section 222 of the LGA 1972</w:t>
      </w:r>
      <w:r w:rsidR="00254DEA">
        <w:t xml:space="preserve"> (Issue 5).</w:t>
      </w:r>
    </w:p>
    <w:p w14:paraId="15EB8175" w14:textId="70F54A86" w:rsidR="00B87F7B" w:rsidRDefault="00254DEA" w:rsidP="00EA0C29">
      <w:pPr>
        <w:pStyle w:val="ParaLevel2"/>
      </w:pPr>
      <w:r>
        <w:t>T</w:t>
      </w:r>
      <w:r w:rsidR="00B87F7B">
        <w:t xml:space="preserve">he </w:t>
      </w:r>
      <w:r>
        <w:t>c</w:t>
      </w:r>
      <w:r w:rsidR="00B87F7B">
        <w:t>ourt ha</w:t>
      </w:r>
      <w:r>
        <w:t>s</w:t>
      </w:r>
      <w:r w:rsidR="00B87F7B">
        <w:t xml:space="preserve"> </w:t>
      </w:r>
      <w:bookmarkStart w:id="106" w:name="_Int_Z4j6f2wl"/>
      <w:r w:rsidR="00B87F7B">
        <w:t>jurisdiction</w:t>
      </w:r>
      <w:bookmarkEnd w:id="106"/>
      <w:r w:rsidR="00B87F7B">
        <w:t xml:space="preserve"> to consider the substantive issue raised by </w:t>
      </w:r>
      <w:r w:rsidR="0005566F">
        <w:t>A</w:t>
      </w:r>
      <w:r w:rsidR="00C24368">
        <w:t>QE</w:t>
      </w:r>
      <w:r w:rsidR="00B87F7B">
        <w:t>’s cross appeal on reserved legal activity</w:t>
      </w:r>
      <w:r w:rsidR="00AC7E88">
        <w:t>. The</w:t>
      </w:r>
      <w:r w:rsidR="00B87F7B">
        <w:t xml:space="preserve"> prosecutor</w:t>
      </w:r>
      <w:r w:rsidR="00AC7E88">
        <w:t>, York,</w:t>
      </w:r>
      <w:r w:rsidR="00B87F7B">
        <w:t xml:space="preserve"> engage</w:t>
      </w:r>
      <w:r w:rsidR="001773C2">
        <w:t>d</w:t>
      </w:r>
      <w:r w:rsidR="00B87F7B">
        <w:t xml:space="preserve"> in reserved legal activity under Part 3 of the LSA 200</w:t>
      </w:r>
      <w:r w:rsidR="007E5E70">
        <w:t>7 by</w:t>
      </w:r>
      <w:r w:rsidR="00495294">
        <w:t xml:space="preserve"> conducting the litigation in the Crown Court through an individual who was neither authorised nor exempt</w:t>
      </w:r>
      <w:r w:rsidR="00B92728">
        <w:t>. That did not</w:t>
      </w:r>
      <w:r w:rsidR="00B87F7B">
        <w:t xml:space="preserve"> render the </w:t>
      </w:r>
      <w:bookmarkStart w:id="107" w:name="_Int_sfgd7IIe"/>
      <w:r w:rsidR="00B87F7B">
        <w:t>indictment</w:t>
      </w:r>
      <w:bookmarkEnd w:id="107"/>
      <w:r w:rsidR="00B87F7B">
        <w:t xml:space="preserve"> a nullity</w:t>
      </w:r>
      <w:r w:rsidR="00B92728">
        <w:t xml:space="preserve"> or</w:t>
      </w:r>
      <w:r w:rsidR="00B87F7B">
        <w:t xml:space="preserve"> result in an abuse of process</w:t>
      </w:r>
      <w:r w:rsidR="00B92728">
        <w:t xml:space="preserve"> (Issue 6).</w:t>
      </w:r>
    </w:p>
    <w:p w14:paraId="75FD0E62" w14:textId="77777777" w:rsidR="00154240" w:rsidRDefault="00154240" w:rsidP="00D231B0">
      <w:pPr>
        <w:pStyle w:val="ParaLevel1"/>
        <w:numPr>
          <w:ilvl w:val="0"/>
          <w:numId w:val="0"/>
        </w:numPr>
        <w:rPr>
          <w:lang w:eastAsia="en-GB"/>
        </w:rPr>
      </w:pPr>
    </w:p>
    <w:sectPr w:rsidR="00154240" w:rsidSect="00EA0C2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0A064" w14:textId="77777777" w:rsidR="00D62B43" w:rsidRDefault="00D62B43">
      <w:r>
        <w:separator/>
      </w:r>
    </w:p>
  </w:endnote>
  <w:endnote w:type="continuationSeparator" w:id="0">
    <w:p w14:paraId="67F39D35" w14:textId="77777777" w:rsidR="00D62B43" w:rsidRDefault="00D6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7509C" w14:textId="77777777" w:rsidR="00EA0C29" w:rsidRDefault="00EA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C239"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274A7" w14:textId="77777777" w:rsidR="00EA0C29" w:rsidRDefault="00EA0C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61B92" w14:textId="77777777" w:rsidR="00C439A3" w:rsidRPr="00EA0C29" w:rsidRDefault="00C439A3" w:rsidP="00EA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663B0" w14:textId="77777777" w:rsidR="00D62B43" w:rsidRDefault="00D62B43">
      <w:r>
        <w:separator/>
      </w:r>
    </w:p>
  </w:footnote>
  <w:footnote w:type="continuationSeparator" w:id="0">
    <w:p w14:paraId="7EECD9F7" w14:textId="77777777" w:rsidR="00D62B43" w:rsidRDefault="00D6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093C" w14:textId="77777777" w:rsidR="00EA0C29" w:rsidRDefault="00EA0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81F23" w14:textId="77777777" w:rsidR="00EA0C29" w:rsidRDefault="00EA0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9361D" w14:textId="77777777" w:rsidR="00EA0C29" w:rsidRDefault="00EA0C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622"/>
      <w:gridCol w:w="4622"/>
    </w:tblGrid>
    <w:tr w:rsidR="00C439A3" w14:paraId="3F1170A2" w14:textId="77777777">
      <w:tc>
        <w:tcPr>
          <w:tcW w:w="4622" w:type="dxa"/>
        </w:tcPr>
        <w:p w14:paraId="140E5AAF" w14:textId="7ADF8115" w:rsidR="00C439A3" w:rsidRPr="00EA0C29" w:rsidRDefault="00EA0C29">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5B9AC3E" w14:textId="412E2F83" w:rsidR="00C439A3" w:rsidRDefault="004E4E8F">
          <w:pPr>
            <w:pStyle w:val="Header"/>
            <w:jc w:val="right"/>
            <w:rPr>
              <w:rFonts w:ascii="Times New Roman" w:hAnsi="Times New Roman"/>
              <w:sz w:val="16"/>
            </w:rPr>
          </w:pPr>
          <w:r>
            <w:rPr>
              <w:rFonts w:ascii="Times New Roman" w:hAnsi="Times New Roman"/>
              <w:sz w:val="16"/>
            </w:rPr>
            <w:t>R -v- AUH and Others</w:t>
          </w:r>
        </w:p>
      </w:tc>
    </w:tr>
  </w:tbl>
  <w:p w14:paraId="1B1AD3D7" w14:textId="77777777" w:rsidR="00C439A3" w:rsidRDefault="00C439A3">
    <w:pPr>
      <w:pStyle w:val="Header"/>
    </w:pPr>
  </w:p>
</w:hdr>
</file>

<file path=word/intelligence2.xml><?xml version="1.0" encoding="utf-8"?>
<int2:intelligence xmlns:int2="http://schemas.microsoft.com/office/intelligence/2020/intelligence">
  <int2:observations>
    <int2:textHash int2:hashCode="pPZqUPQJIeeeC+" int2:id="W77GSeHW">
      <int2:state int2:type="LegacyProofing" int2:value="Rejected"/>
    </int2:textHash>
    <int2:textHash int2:hashCode="UGWaPblUVxYa1g" int2:id="Zm2AuHSo">
      <int2:state int2:type="LegacyProofing" int2:value="Rejected"/>
    </int2:textHash>
    <int2:textHash int2:hashCode="BC3EUS+j05HFFw" int2:id="OXwbnlWg">
      <int2:state int2:type="LegacyProofing" int2:value="Rejected"/>
    </int2:textHash>
    <int2:textHash int2:hashCode="PlOBf5719NLEo+" int2:id="4mCY24yf">
      <int2:state int2:type="LegacyProofing" int2:value="Rejected"/>
    </int2:textHash>
    <int2:textHash int2:hashCode="XcdEYfguovikDg" int2:id="wTH4REXu">
      <int2:state int2:type="LegacyProofing" int2:value="Rejected"/>
    </int2:textHash>
    <int2:textHash int2:hashCode="UcKXuAYF/oRpyk" int2:id="VQmQdUKs">
      <int2:state int2:type="LegacyProofing" int2:value="Rejected"/>
    </int2:textHash>
    <int2:textHash int2:hashCode="e/6jbJTJpl/yPE" int2:id="JxEA1wxi">
      <int2:state int2:type="LegacyProofing" int2:value="Rejected"/>
    </int2:textHash>
    <int2:textHash int2:hashCode="+TLtSXerpoMnYE" int2:id="GUqf9V9S">
      <int2:state int2:type="LegacyProofing" int2:value="Rejected"/>
    </int2:textHash>
    <int2:textHash int2:hashCode="AOPPe/jNwJUo+Y" int2:id="JXx7TGRO">
      <int2:state int2:type="LegacyProofing" int2:value="Rejected"/>
    </int2:textHash>
    <int2:textHash int2:hashCode="HTLFHXwR2rkiFP" int2:id="sFu6vVBt">
      <int2:state int2:type="LegacyProofing" int2:value="Rejected"/>
    </int2:textHash>
    <int2:textHash int2:hashCode="NlPF36lbTGMuEm" int2:id="IeTKfgby">
      <int2:state int2:type="LegacyProofing" int2:value="Rejected"/>
    </int2:textHash>
    <int2:textHash int2:hashCode="w5W21vGR17FTk6" int2:id="xb1PgIew">
      <int2:state int2:type="LegacyProofing" int2:value="Rejected"/>
    </int2:textHash>
    <int2:bookmark int2:bookmarkName="_Int_e0AzQlrD" int2:invalidationBookmarkName="" int2:hashCode="xgDzA50uAYUN6A" int2:id="qX6KHLqU">
      <int2:state int2:type="AugLoop_Text_Critique" int2:value="Rejected"/>
    </int2:bookmark>
    <int2:bookmark int2:bookmarkName="_Int_Dux31t5s" int2:invalidationBookmarkName="" int2:hashCode="+hy8M85sF9u9T4" int2:id="YFMx4vH2">
      <int2:state int2:type="AugLoop_Text_Critique" int2:value="Rejected"/>
    </int2:bookmark>
    <int2:bookmark int2:bookmarkName="_Int_MUpchYFQ" int2:invalidationBookmarkName="" int2:hashCode="RoOOEWWWP987Zo" int2:id="Dkx3NPl7">
      <int2:state int2:type="AugLoop_Text_Critique" int2:value="Rejected"/>
    </int2:bookmark>
    <int2:bookmark int2:bookmarkName="_Int_ha0NxglZ" int2:invalidationBookmarkName="" int2:hashCode="+hy8M85sF9u9T4" int2:id="bqHrYL8v">
      <int2:state int2:type="AugLoop_Text_Critique" int2:value="Rejected"/>
    </int2:bookmark>
    <int2:bookmark int2:bookmarkName="_Int_OpJ1wGFx" int2:invalidationBookmarkName="" int2:hashCode="rKbW4Kx8avZAF3" int2:id="4O0ivC5c">
      <int2:state int2:type="AugLoop_Text_Critique" int2:value="Rejected"/>
    </int2:bookmark>
    <int2:bookmark int2:bookmarkName="_Int_2g7IGoVs" int2:invalidationBookmarkName="" int2:hashCode="DN3riJKtQ830yr" int2:id="TQnKUAGK">
      <int2:state int2:type="AugLoop_Text_Critique" int2:value="Rejected"/>
    </int2:bookmark>
    <int2:bookmark int2:bookmarkName="_Int_jjcyXNIm" int2:invalidationBookmarkName="" int2:hashCode="hVaLIMMxUobE3+" int2:id="COZNQ9JQ">
      <int2:state int2:type="AugLoop_Text_Critique" int2:value="Rejected"/>
    </int2:bookmark>
    <int2:bookmark int2:bookmarkName="_Int_oki0kc3B" int2:invalidationBookmarkName="" int2:hashCode="+hy8M85sF9u9T4" int2:id="IQ4wfvnM">
      <int2:state int2:type="AugLoop_Text_Critique" int2:value="Rejected"/>
    </int2:bookmark>
    <int2:bookmark int2:bookmarkName="_Int_M1C7vJuW" int2:invalidationBookmarkName="" int2:hashCode="PVSXP1KLAQGaWK" int2:id="70vtSMcG">
      <int2:state int2:type="AugLoop_Text_Critique" int2:value="Rejected"/>
    </int2:bookmark>
    <int2:bookmark int2:bookmarkName="_Int_fcaq5QDJ" int2:invalidationBookmarkName="" int2:hashCode="wCgj9rKdcuGrsF" int2:id="cYzcVqW7">
      <int2:state int2:type="AugLoop_Text_Critique" int2:value="Rejected"/>
    </int2:bookmark>
    <int2:bookmark int2:bookmarkName="_Int_a7srp554" int2:invalidationBookmarkName="" int2:hashCode="M87cdnqyq2cUmz" int2:id="HI5rmv9n">
      <int2:state int2:type="AugLoop_Text_Critique" int2:value="Rejected"/>
    </int2:bookmark>
    <int2:bookmark int2:bookmarkName="_Int_s0UJFrYF" int2:invalidationBookmarkName="" int2:hashCode="sIEeRw1r9MlmXt" int2:id="MlN6t3D9">
      <int2:state int2:type="AugLoop_Text_Critique" int2:value="Rejected"/>
    </int2:bookmark>
    <int2:bookmark int2:bookmarkName="_Int_4bwYlDcn" int2:invalidationBookmarkName="" int2:hashCode="FGmcT7EbQA/bzM" int2:id="RZvVjlTp">
      <int2:state int2:type="AugLoop_Text_Critique" int2:value="Rejected"/>
    </int2:bookmark>
    <int2:bookmark int2:bookmarkName="_Int_vywE5y1l" int2:invalidationBookmarkName="" int2:hashCode="qHrEsQKsmIEf/x" int2:id="rUAovkYR">
      <int2:state int2:type="AugLoop_Text_Critique" int2:value="Rejected"/>
    </int2:bookmark>
    <int2:bookmark int2:bookmarkName="_Int_fbeLcAAZ" int2:invalidationBookmarkName="" int2:hashCode="wCgj9rKdcuGrsF" int2:id="aLAfwMgN">
      <int2:state int2:type="AugLoop_Text_Critique" int2:value="Rejected"/>
    </int2:bookmark>
    <int2:bookmark int2:bookmarkName="_Int_csubuHVX" int2:invalidationBookmarkName="" int2:hashCode="g92davQ/jL7gis" int2:id="UOa2OqBJ">
      <int2:state int2:type="AugLoop_Text_Critique" int2:value="Rejected"/>
    </int2:bookmark>
    <int2:bookmark int2:bookmarkName="_Int_dKwUs1SE" int2:invalidationBookmarkName="" int2:hashCode="wCgj9rKdcuGrsF" int2:id="COy3iise">
      <int2:state int2:type="AugLoop_Text_Critique" int2:value="Rejected"/>
    </int2:bookmark>
    <int2:bookmark int2:bookmarkName="_Int_0MJRvJsC" int2:invalidationBookmarkName="" int2:hashCode="8PFwTWsnnhopFS" int2:id="KfgGRoN0">
      <int2:state int2:type="AugLoop_Text_Critique" int2:value="Rejected"/>
    </int2:bookmark>
    <int2:bookmark int2:bookmarkName="_Int_fHBtRQra" int2:invalidationBookmarkName="" int2:hashCode="o2KhQg+2aYRCp/" int2:id="Aru39BPT">
      <int2:state int2:type="AugLoop_Text_Critique" int2:value="Rejected"/>
    </int2:bookmark>
    <int2:bookmark int2:bookmarkName="_Int_cTnOi2bH" int2:invalidationBookmarkName="" int2:hashCode="6KZ2rmj9wPvllh" int2:id="IU0OhMSK">
      <int2:state int2:type="AugLoop_Text_Critique" int2:value="Rejected"/>
    </int2:bookmark>
    <int2:bookmark int2:bookmarkName="_Int_BTMyY9Sm" int2:invalidationBookmarkName="" int2:hashCode="EHb/2/UVswp1jz" int2:id="xnq0LAKd">
      <int2:state int2:type="AugLoop_Text_Critique" int2:value="Rejected"/>
    </int2:bookmark>
    <int2:bookmark int2:bookmarkName="_Int_uqak9kMR" int2:invalidationBookmarkName="" int2:hashCode="ugtK3NS5t+vQFS" int2:id="fvtyxNQ6">
      <int2:state int2:type="AugLoop_Text_Critique" int2:value="Rejected"/>
    </int2:bookmark>
    <int2:bookmark int2:bookmarkName="_Int_Sfna2BD5" int2:invalidationBookmarkName="" int2:hashCode="TfYk9MABvpvUsK" int2:id="qbwFCXS1">
      <int2:state int2:type="AugLoop_Text_Critique" int2:value="Rejected"/>
    </int2:bookmark>
    <int2:bookmark int2:bookmarkName="_Int_aTF1s1fP" int2:invalidationBookmarkName="" int2:hashCode="axysf5dBLJKg7T" int2:id="cssYwufx">
      <int2:state int2:type="AugLoop_Text_Critique" int2:value="Rejected"/>
    </int2:bookmark>
    <int2:bookmark int2:bookmarkName="_Int_5D1VnbkX" int2:invalidationBookmarkName="" int2:hashCode="6Z+XLdSWstG+pQ" int2:id="QYNaAwfh">
      <int2:state int2:type="AugLoop_Text_Critique" int2:value="Rejected"/>
    </int2:bookmark>
    <int2:bookmark int2:bookmarkName="_Int_LCoe0zep" int2:invalidationBookmarkName="" int2:hashCode="ngXYJQttAoPpPs" int2:id="nxkT4DsG">
      <int2:state int2:type="AugLoop_Text_Critique" int2:value="Rejected"/>
    </int2:bookmark>
    <int2:bookmark int2:bookmarkName="_Int_GWApEdR7" int2:invalidationBookmarkName="" int2:hashCode="3KKjJeR/dxf+gy" int2:id="hC9D7cJk">
      <int2:state int2:type="AugLoop_Text_Critique" int2:value="Rejected"/>
    </int2:bookmark>
    <int2:bookmark int2:bookmarkName="_Int_YLH47MNv" int2:invalidationBookmarkName="" int2:hashCode="AGg4/wIxzm4fbn" int2:id="ioBKWtPD">
      <int2:state int2:type="AugLoop_Text_Critique" int2:value="Rejected"/>
    </int2:bookmark>
    <int2:bookmark int2:bookmarkName="_Int_R2TkNL31" int2:invalidationBookmarkName="" int2:hashCode="xCUxdL8CC3k8UC" int2:id="qQ48VSYp">
      <int2:state int2:type="AugLoop_Text_Critique" int2:value="Rejected"/>
    </int2:bookmark>
    <int2:bookmark int2:bookmarkName="_Int_VmRPFFAn" int2:invalidationBookmarkName="" int2:hashCode="jdR0PhIg6mECim" int2:id="pEKX9vGL">
      <int2:state int2:type="AugLoop_Text_Critique" int2:value="Rejected"/>
    </int2:bookmark>
    <int2:bookmark int2:bookmarkName="_Int_0sMC0QBD" int2:invalidationBookmarkName="" int2:hashCode="O1aKrIxMVyTR6X" int2:id="UpAZLWCq">
      <int2:state int2:type="AugLoop_Text_Critique" int2:value="Rejected"/>
    </int2:bookmark>
    <int2:bookmark int2:bookmarkName="_Int_FfdCqQah" int2:invalidationBookmarkName="" int2:hashCode="2dOtjqv07wVbHo" int2:id="sxuONOVV">
      <int2:state int2:type="AugLoop_Text_Critique" int2:value="Rejected"/>
    </int2:bookmark>
    <int2:bookmark int2:bookmarkName="_Int_0CVHlcc4" int2:invalidationBookmarkName="" int2:hashCode="VUm5PL+g8/TYPV" int2:id="rsmoEj3N">
      <int2:state int2:type="AugLoop_Text_Critique" int2:value="Rejected"/>
    </int2:bookmark>
    <int2:bookmark int2:bookmarkName="_Int_7MWzaMxj" int2:invalidationBookmarkName="" int2:hashCode="/hKwL0Wm8L2Lqz" int2:id="OjM3BUtn">
      <int2:state int2:type="AugLoop_Text_Critique" int2:value="Rejected"/>
    </int2:bookmark>
    <int2:bookmark int2:bookmarkName="_Int_xAp0lgOF" int2:invalidationBookmarkName="" int2:hashCode="/hKwL0Wm8L2Lqz" int2:id="ZkiD4N3w">
      <int2:state int2:type="AugLoop_Text_Critique" int2:value="Rejected"/>
    </int2:bookmark>
    <int2:bookmark int2:bookmarkName="_Int_V4se8tGq" int2:invalidationBookmarkName="" int2:hashCode="5mDvL5mIjOXn4o" int2:id="ugUWY6Cd">
      <int2:state int2:type="AugLoop_Text_Critique" int2:value="Rejected"/>
    </int2:bookmark>
    <int2:bookmark int2:bookmarkName="_Int_rSyTWzef" int2:invalidationBookmarkName="" int2:hashCode="s+qqYjIg+yeofb" int2:id="q9pwDFjG">
      <int2:state int2:type="AugLoop_Text_Critique" int2:value="Rejected"/>
    </int2:bookmark>
    <int2:bookmark int2:bookmarkName="_Int_Yvgq5P3T" int2:invalidationBookmarkName="" int2:hashCode="s+qqYjIg+yeofb" int2:id="b5DR2xfQ">
      <int2:state int2:type="AugLoop_Text_Critique" int2:value="Rejected"/>
    </int2:bookmark>
    <int2:bookmark int2:bookmarkName="_Int_kLFRTUsR" int2:invalidationBookmarkName="" int2:hashCode="FiNCzSReCiV7Qq" int2:id="CdJNJIFq">
      <int2:state int2:type="AugLoop_Text_Critique" int2:value="Rejected"/>
    </int2:bookmark>
    <int2:bookmark int2:bookmarkName="_Int_PG1RIzJf" int2:invalidationBookmarkName="" int2:hashCode="qNOaSXXh5KHwYY" int2:id="pAsYF1Cc">
      <int2:state int2:type="AugLoop_Text_Critique" int2:value="Rejected"/>
    </int2:bookmark>
    <int2:bookmark int2:bookmarkName="_Int_COhlnRby" int2:invalidationBookmarkName="" int2:hashCode="s+qqYjIg+yeofb" int2:id="qUoSKHb6">
      <int2:state int2:type="AugLoop_Text_Critique" int2:value="Rejected"/>
    </int2:bookmark>
    <int2:bookmark int2:bookmarkName="_Int_1jc2mzRH" int2:invalidationBookmarkName="" int2:hashCode="s+qqYjIg+yeofb" int2:id="bQsAKwqE">
      <int2:state int2:type="AugLoop_Text_Critique" int2:value="Rejected"/>
    </int2:bookmark>
    <int2:bookmark int2:bookmarkName="_Int_KoGzrCb6" int2:invalidationBookmarkName="" int2:hashCode="s+qqYjIg+yeofb" int2:id="kir38VEX">
      <int2:state int2:type="AugLoop_Text_Critique" int2:value="Rejected"/>
    </int2:bookmark>
    <int2:bookmark int2:bookmarkName="_Int_0V9jhQSi" int2:invalidationBookmarkName="" int2:hashCode="s+qqYjIg+yeofb" int2:id="SxFJuW5G">
      <int2:state int2:type="AugLoop_Text_Critique" int2:value="Rejected"/>
    </int2:bookmark>
    <int2:bookmark int2:bookmarkName="_Int_vDezl3BB" int2:invalidationBookmarkName="" int2:hashCode="s+qqYjIg+yeofb" int2:id="k53dSNDL">
      <int2:state int2:type="AugLoop_Text_Critique" int2:value="Rejected"/>
    </int2:bookmark>
    <int2:bookmark int2:bookmarkName="_Int_kaILgcdh" int2:invalidationBookmarkName="" int2:hashCode="s+qqYjIg+yeofb" int2:id="gNIvQgRg">
      <int2:state int2:type="AugLoop_Text_Critique" int2:value="Rejected"/>
    </int2:bookmark>
    <int2:bookmark int2:bookmarkName="_Int_hhVg31n3" int2:invalidationBookmarkName="" int2:hashCode="s+qqYjIg+yeofb" int2:id="i5Oo60B0">
      <int2:state int2:type="AugLoop_Text_Critique" int2:value="Rejected"/>
    </int2:bookmark>
    <int2:bookmark int2:bookmarkName="_Int_8zw4scGH" int2:invalidationBookmarkName="" int2:hashCode="s+qqYjIg+yeofb" int2:id="IAjK11jk">
      <int2:state int2:type="AugLoop_Text_Critique" int2:value="Rejected"/>
    </int2:bookmark>
    <int2:bookmark int2:bookmarkName="_Int_8pawh0TL" int2:invalidationBookmarkName="" int2:hashCode="s+qqYjIg+yeofb" int2:id="xnEKNRtv">
      <int2:state int2:type="AugLoop_Text_Critique" int2:value="Rejected"/>
    </int2:bookmark>
    <int2:bookmark int2:bookmarkName="_Int_yuKiL3JW" int2:invalidationBookmarkName="" int2:hashCode="s+qqYjIg+yeofb" int2:id="0WjWBiaU">
      <int2:state int2:type="AugLoop_Text_Critique" int2:value="Rejected"/>
    </int2:bookmark>
    <int2:bookmark int2:bookmarkName="_Int_ZyJgfAF3" int2:invalidationBookmarkName="" int2:hashCode="s+qqYjIg+yeofb" int2:id="pmuhwcHw">
      <int2:state int2:type="AugLoop_Text_Critique" int2:value="Rejected"/>
    </int2:bookmark>
    <int2:bookmark int2:bookmarkName="_Int_Nq0VnTRa" int2:invalidationBookmarkName="" int2:hashCode="c/lbCkja372SPm" int2:id="FRW4ODXh">
      <int2:state int2:type="AugLoop_Text_Critique" int2:value="Rejected"/>
    </int2:bookmark>
    <int2:bookmark int2:bookmarkName="_Int_sfgd7IIe" int2:invalidationBookmarkName="" int2:hashCode="s+qqYjIg+yeofb" int2:id="RBgJ5Eh9">
      <int2:state int2:type="AugLoop_Text_Critique" int2:value="Rejected"/>
    </int2:bookmark>
    <int2:bookmark int2:bookmarkName="_Int_Z4j6f2wl" int2:invalidationBookmarkName="" int2:hashCode="FiNCzSReCiV7Qq" int2:id="GAtwxoPq">
      <int2:state int2:type="AugLoop_Text_Critique" int2:value="Rejected"/>
    </int2:bookmark>
    <int2:bookmark int2:bookmarkName="_Int_DzCqEB3y" int2:invalidationBookmarkName="" int2:hashCode="FiNCzSReCiV7Qq" int2:id="1VcHuV2Q">
      <int2:state int2:type="AugLoop_Text_Critique" int2:value="Rejected"/>
    </int2:bookmark>
    <int2:bookmark int2:bookmarkName="_Int_HBhsnbUz" int2:invalidationBookmarkName="" int2:hashCode="QwqD2tRn95fYzg" int2:id="i6NnO49y">
      <int2:state int2:type="AugLoop_Text_Critique" int2:value="Rejected"/>
    </int2:bookmark>
    <int2:bookmark int2:bookmarkName="_Int_3zbZ3Ovh" int2:invalidationBookmarkName="" int2:hashCode="c/lbCkja372SPm" int2:id="4HeNEdOz">
      <int2:state int2:type="AugLoop_Text_Critique" int2:value="Rejected"/>
    </int2:bookmark>
    <int2:bookmark int2:bookmarkName="_Int_hUTD85ui" int2:invalidationBookmarkName="" int2:hashCode="wCgj9rKdcuGrsF" int2:id="wdnSCV6u">
      <int2:state int2:type="AugLoop_Text_Critique" int2:value="Rejected"/>
    </int2:bookmark>
    <int2:bookmark int2:bookmarkName="_Int_UAmOuC5A" int2:invalidationBookmarkName="" int2:hashCode="+hy8M85sF9u9T4" int2:id="EkKsoltE">
      <int2:state int2:type="AugLoop_Text_Critique" int2:value="Rejected"/>
    </int2:bookmark>
    <int2:bookmark int2:bookmarkName="_Int_ZsFKLnNW" int2:invalidationBookmarkName="" int2:hashCode="VRd/LyDcPFdCnc" int2:id="0dPFmzHo">
      <int2:state int2:type="AugLoop_Text_Critique" int2:value="Rejected"/>
    </int2:bookmark>
    <int2:bookmark int2:bookmarkName="_Int_G4hwdalR" int2:invalidationBookmarkName="" int2:hashCode="kghvCV6Mr4HBF8" int2:id="6m4rlB49">
      <int2:state int2:type="AugLoop_Text_Critique" int2:value="Rejected"/>
    </int2:bookmark>
    <int2:bookmark int2:bookmarkName="_Int_PbY1vFB3" int2:invalidationBookmarkName="" int2:hashCode="s+qqYjIg+yeofb" int2:id="kqrkwVAN">
      <int2:state int2:type="AugLoop_Text_Critique" int2:value="Rejected"/>
    </int2:bookmark>
    <int2:bookmark int2:bookmarkName="_Int_vNBmRJTQ" int2:invalidationBookmarkName="" int2:hashCode="s+qqYjIg+yeofb" int2:id="YzdyEs61">
      <int2:state int2:type="AugLoop_Text_Critique" int2:value="Rejected"/>
    </int2:bookmark>
    <int2:bookmark int2:bookmarkName="_Int_PewTtnyc" int2:invalidationBookmarkName="" int2:hashCode="4A4h0b9w+MSp+E" int2:id="7VRDDAco">
      <int2:state int2:type="AugLoop_Text_Critique" int2:value="Rejected"/>
    </int2:bookmark>
    <int2:bookmark int2:bookmarkName="_Int_N9qt0cGE" int2:invalidationBookmarkName="" int2:hashCode="qNOaSXXh5KHwYY" int2:id="Ln3JAylz">
      <int2:state int2:type="AugLoop_Text_Critique" int2:value="Rejected"/>
    </int2:bookmark>
    <int2:bookmark int2:bookmarkName="_Int_JnpKrh2B" int2:invalidationBookmarkName="" int2:hashCode="s+qqYjIg+yeofb" int2:id="9eutN5xW">
      <int2:state int2:type="AugLoop_Text_Critique" int2:value="Rejected"/>
    </int2:bookmark>
    <int2:bookmark int2:bookmarkName="_Int_iGXRK9yk" int2:invalidationBookmarkName="" int2:hashCode="s+qqYjIg+yeofb" int2:id="b5nvMuNR">
      <int2:state int2:type="AugLoop_Text_Critique" int2:value="Rejected"/>
    </int2:bookmark>
    <int2:bookmark int2:bookmarkName="_Int_VOj5EFGb" int2:invalidationBookmarkName="" int2:hashCode="c/lbCkja372SPm" int2:id="aqnObayz">
      <int2:state int2:type="AugLoop_Text_Critique" int2:value="Rejected"/>
    </int2:bookmark>
    <int2:bookmark int2:bookmarkName="_Int_1QfOYSIH" int2:invalidationBookmarkName="" int2:hashCode="s+qqYjIg+yeofb" int2:id="FJZcjk9U">
      <int2:state int2:type="AugLoop_Text_Critique" int2:value="Rejected"/>
    </int2:bookmark>
    <int2:bookmark int2:bookmarkName="_Int_DxFBWTbn" int2:invalidationBookmarkName="" int2:hashCode="s+qqYjIg+yeofb" int2:id="fPvS0YUP">
      <int2:state int2:type="AugLoop_Text_Critique" int2:value="Rejected"/>
    </int2:bookmark>
    <int2:bookmark int2:bookmarkName="_Int_t5jiJDEI" int2:invalidationBookmarkName="" int2:hashCode="s+qqYjIg+yeofb" int2:id="RTS811Sj">
      <int2:state int2:type="AugLoop_Text_Critique" int2:value="Rejected"/>
    </int2:bookmark>
    <int2:bookmark int2:bookmarkName="_Int_g0D5RDZu" int2:invalidationBookmarkName="" int2:hashCode="s+qqYjIg+yeofb" int2:id="hyirk9HQ">
      <int2:state int2:type="AugLoop_Text_Critique" int2:value="Rejected"/>
    </int2:bookmark>
    <int2:bookmark int2:bookmarkName="_Int_vzeC9feY" int2:invalidationBookmarkName="" int2:hashCode="s+qqYjIg+yeofb" int2:id="BbpFb01I">
      <int2:state int2:type="AugLoop_Text_Critique" int2:value="Rejected"/>
    </int2:bookmark>
    <int2:bookmark int2:bookmarkName="_Int_im2W5nED" int2:invalidationBookmarkName="" int2:hashCode="s+qqYjIg+yeofb" int2:id="sgTHskch">
      <int2:state int2:type="AugLoop_Text_Critique" int2:value="Rejected"/>
    </int2:bookmark>
    <int2:bookmark int2:bookmarkName="_Int_DifE279h" int2:invalidationBookmarkName="" int2:hashCode="s+qqYjIg+yeofb" int2:id="fONrDTm2">
      <int2:state int2:type="AugLoop_Text_Critique" int2:value="Rejected"/>
    </int2:bookmark>
    <int2:bookmark int2:bookmarkName="_Int_ye9u7mEW" int2:invalidationBookmarkName="" int2:hashCode="s+qqYjIg+yeofb" int2:id="uPXNEIVe">
      <int2:state int2:type="AugLoop_Text_Critique" int2:value="Rejected"/>
    </int2:bookmark>
    <int2:bookmark int2:bookmarkName="_Int_7jGPng62" int2:invalidationBookmarkName="" int2:hashCode="s+qqYjIg+yeofb" int2:id="Fclfa548">
      <int2:state int2:type="AugLoop_Text_Critique" int2:value="Rejected"/>
    </int2:bookmark>
    <int2:bookmark int2:bookmarkName="_Int_EumuvDUR" int2:invalidationBookmarkName="" int2:hashCode="c/lbCkja372SPm" int2:id="UAnExKYc">
      <int2:state int2:type="AugLoop_Text_Critique" int2:value="Rejected"/>
    </int2:bookmark>
    <int2:bookmark int2:bookmarkName="_Int_ETiOum7m" int2:invalidationBookmarkName="" int2:hashCode="s+qqYjIg+yeofb" int2:id="ozTj3FiU">
      <int2:state int2:type="AugLoop_Text_Critique" int2:value="Rejected"/>
    </int2:bookmark>
    <int2:bookmark int2:bookmarkName="_Int_LIVxjxTn" int2:invalidationBookmarkName="" int2:hashCode="s+qqYjIg+yeofb" int2:id="sZWH2JPp">
      <int2:state int2:type="AugLoop_Text_Critique" int2:value="Rejected"/>
    </int2:bookmark>
    <int2:bookmark int2:bookmarkName="_Int_gfb2jsd7" int2:invalidationBookmarkName="" int2:hashCode="c/lbCkja372SPm" int2:id="1zPM59Pw">
      <int2:state int2:type="AugLoop_Text_Critique" int2:value="Rejected"/>
    </int2:bookmark>
    <int2:bookmark int2:bookmarkName="_Int_g6mWBmUh" int2:invalidationBookmarkName="" int2:hashCode="c/lbCkja372SPm" int2:id="r0TEDsrv">
      <int2:state int2:type="AugLoop_Text_Critique" int2:value="Rejected"/>
    </int2:bookmark>
    <int2:bookmark int2:bookmarkName="_Int_ByEnUz2a" int2:invalidationBookmarkName="" int2:hashCode="s+qqYjIg+yeofb" int2:id="LPLpTJ5T">
      <int2:state int2:type="AugLoop_Text_Critique" int2:value="Rejected"/>
    </int2:bookmark>
    <int2:bookmark int2:bookmarkName="_Int_KrUn3Aam" int2:invalidationBookmarkName="" int2:hashCode="FiNCzSReCiV7Qq" int2:id="khuwrfE4">
      <int2:state int2:type="AugLoop_Text_Critique" int2:value="Rejected"/>
    </int2:bookmark>
    <int2:bookmark int2:bookmarkName="_Int_S0OKzjWX" int2:invalidationBookmarkName="" int2:hashCode="s+qqYjIg+yeofb" int2:id="QIZe6tQ8">
      <int2:state int2:type="AugLoop_Text_Critique" int2:value="Rejected"/>
    </int2:bookmark>
    <int2:bookmark int2:bookmarkName="_Int_FYTSXdYm" int2:invalidationBookmarkName="" int2:hashCode="s+qqYjIg+yeofb" int2:id="ZFuFcovE">
      <int2:state int2:type="AugLoop_Text_Critique" int2:value="Rejected"/>
    </int2:bookmark>
    <int2:bookmark int2:bookmarkName="_Int_CzE8In5T" int2:invalidationBookmarkName="" int2:hashCode="FiNCzSReCiV7Qq" int2:id="FeWfqaFr">
      <int2:state int2:type="AugLoop_Text_Critique" int2:value="Rejected"/>
    </int2:bookmark>
    <int2:bookmark int2:bookmarkName="_Int_JZLLcUcd" int2:invalidationBookmarkName="" int2:hashCode="FiNCzSReCiV7Qq" int2:id="ZpwfILqp">
      <int2:state int2:type="AugLoop_Text_Critique" int2:value="Rejected"/>
    </int2:bookmark>
    <int2:bookmark int2:bookmarkName="_Int_oPDDGPxd" int2:invalidationBookmarkName="" int2:hashCode="s+qqYjIg+yeofb" int2:id="EJLWL28t">
      <int2:state int2:type="AugLoop_Text_Critique" int2:value="Rejected"/>
    </int2:bookmark>
    <int2:bookmark int2:bookmarkName="_Int_VaKJpj9W" int2:invalidationBookmarkName="" int2:hashCode="s+qqYjIg+yeofb" int2:id="LMMZRD0Q">
      <int2:state int2:type="AugLoop_Text_Critique" int2:value="Rejected"/>
    </int2:bookmark>
    <int2:bookmark int2:bookmarkName="_Int_o1yZiDMY" int2:invalidationBookmarkName="" int2:hashCode="FiNCzSReCiV7Qq" int2:id="RTFSeI0o">
      <int2:state int2:type="AugLoop_Text_Critique" int2:value="Rejected"/>
    </int2:bookmark>
    <int2:bookmark int2:bookmarkName="_Int_VsGEEFB2" int2:invalidationBookmarkName="" int2:hashCode="s+qqYjIg+yeofb" int2:id="uZLaa8mj">
      <int2:state int2:type="AugLoop_Text_Critique" int2:value="Rejected"/>
    </int2:bookmark>
    <int2:bookmark int2:bookmarkName="_Int_XzHPVCqb" int2:invalidationBookmarkName="" int2:hashCode="FiNCzSReCiV7Qq" int2:id="wxoyDh7s">
      <int2:state int2:type="AugLoop_Text_Critique" int2:value="Rejected"/>
    </int2:bookmark>
    <int2:bookmark int2:bookmarkName="_Int_hiuHTTqN" int2:invalidationBookmarkName="" int2:hashCode="FiNCzSReCiV7Qq" int2:id="mwtn23Dr">
      <int2:state int2:type="AugLoop_Text_Critique" int2:value="Rejected"/>
    </int2:bookmark>
    <int2:bookmark int2:bookmarkName="_Int_02AEy7IT" int2:invalidationBookmarkName="" int2:hashCode="FiNCzSReCiV7Qq" int2:id="pV3yS10I">
      <int2:state int2:type="AugLoop_Text_Critique" int2:value="Rejected"/>
    </int2:bookmark>
    <int2:bookmark int2:bookmarkName="_Int_7AztKMzM" int2:invalidationBookmarkName="" int2:hashCode="FiNCzSReCiV7Qq" int2:id="Ex4qZ3rf">
      <int2:state int2:type="AugLoop_Text_Critique" int2:value="Rejected"/>
    </int2:bookmark>
    <int2:bookmark int2:bookmarkName="_Int_kEqqZCJr" int2:invalidationBookmarkName="" int2:hashCode="riyupLsfRrcU41" int2:id="RLFtqWz7">
      <int2:state int2:type="AugLoop_Text_Critique" int2:value="Rejected"/>
    </int2:bookmark>
    <int2:bookmark int2:bookmarkName="_Int_fWNc0NMQ" int2:invalidationBookmarkName="" int2:hashCode="riyupLsfRrcU41" int2:id="vhrlR6Ir">
      <int2:state int2:type="AugLoop_Acronyms_AcronymsCritique" int2:value="Rejected"/>
    </int2:bookmark>
    <int2:bookmark int2:bookmarkName="_Int_GYNHVJg8" int2:invalidationBookmarkName="" int2:hashCode="0DZiMDN/Vl2Hmd" int2:id="IOyTJbdt">
      <int2:state int2:type="AugLoop_Acronyms_AcronymsCritique" int2:value="Rejected"/>
    </int2:bookmark>
    <int2:bookmark int2:bookmarkName="_Int_oXvW8XUW" int2:invalidationBookmarkName="" int2:hashCode="OO/MGAIYrsxP64" int2:id="FI1nbk0y">
      <int2:state int2:type="AugLoop_Acronyms_AcronymsCritique" int2:value="Rejected"/>
    </int2:bookmark>
    <int2:bookmark int2:bookmarkName="_Int_P5evYm1w" int2:invalidationBookmarkName="" int2:hashCode="LJKutjIkxZzjQf" int2:id="Ac7RAFhe">
      <int2:state int2:type="AugLoop_Acronyms_AcronymsCritique" int2:value="Rejected"/>
    </int2:bookmark>
    <int2:bookmark int2:bookmarkName="_Int_dtnTLe1C" int2:invalidationBookmarkName="" int2:hashCode="bGkyl+16dURikt" int2:id="VHUYXi9a">
      <int2:state int2:type="AugLoop_Acronyms_AcronymsCritique" int2:value="Rejected"/>
    </int2:bookmark>
    <int2:bookmark int2:bookmarkName="_Int_dmAfbhJ9" int2:invalidationBookmarkName="" int2:hashCode="WBb3QeMRZhXkkw" int2:id="Wu3BRtVx">
      <int2:state int2:type="LegacyProofing" int2:value="Rejected"/>
    </int2:bookmark>
    <int2:bookmark int2:bookmarkName="_Int_aMpKi5eP" int2:invalidationBookmarkName="" int2:hashCode="svnmPrHGKUWS4T" int2:id="a7e2oDJC">
      <int2:state int2:type="AugLoop_Text_Critique" int2:value="Rejected"/>
    </int2:bookmark>
    <int2:bookmark int2:bookmarkName="_Int_Anu8mizd" int2:invalidationBookmarkName="" int2:hashCode="dv5Q8A9fEa61Qd" int2:id="tPdLJtV2">
      <int2:state int2:type="AugLoop_Text_Critique" int2:value="Rejected"/>
      <int2:state int2:type="LegacyProofing" int2:value="Rejected"/>
    </int2:bookmark>
    <int2:bookmark int2:bookmarkName="_Int_wP34HaSE" int2:invalidationBookmarkName="" int2:hashCode="2pnfiB4O8IK3iG" int2:id="yKhtthjm">
      <int2:state int2:type="AugLoop_Text_Critique" int2:value="Rejected"/>
      <int2:state int2:type="LegacyProofing" int2:value="Rejected"/>
    </int2:bookmark>
    <int2:bookmark int2:bookmarkName="_Int_gPGZHY3E" int2:invalidationBookmarkName="" int2:hashCode="3zQhCwpbjjZQNP" int2:id="ISR9gGvM">
      <int2:state int2:type="LegacyProofing" int2:value="Rejected"/>
    </int2:bookmark>
    <int2:bookmark int2:bookmarkName="_Int_Tcu2kDY8" int2:invalidationBookmarkName="" int2:hashCode="6KZ2rmj9wPvllh" int2:id="2nhyjg2j">
      <int2:state int2:type="AugLoop_Text_Critique" int2:value="Rejected"/>
      <int2:state int2:type="LegacyProofing" int2:value="Rejected"/>
    </int2:bookmark>
    <int2:bookmark int2:bookmarkName="_Int_WoxBtBtW" int2:invalidationBookmarkName="" int2:hashCode="mKrbNwg+3dhVwn" int2:id="IbZ6ItOM">
      <int2:state int2:type="LegacyProofing" int2:value="Rejected"/>
    </int2:bookmark>
    <int2:bookmark int2:bookmarkName="_Int_kjnzdMk1" int2:invalidationBookmarkName="" int2:hashCode="TonqLmnzMv49ft" int2:id="G0ONVOxB">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2C2B364"/>
    <w:multiLevelType w:val="hybridMultilevel"/>
    <w:tmpl w:val="B4827FC8"/>
    <w:lvl w:ilvl="0" w:tplc="B6685814">
      <w:start w:val="1"/>
      <w:numFmt w:val="decimal"/>
      <w:lvlText w:val="%1."/>
      <w:lvlJc w:val="left"/>
      <w:pPr>
        <w:ind w:left="720" w:hanging="360"/>
      </w:pPr>
    </w:lvl>
    <w:lvl w:ilvl="1" w:tplc="8E1EBFCA">
      <w:start w:val="1"/>
      <w:numFmt w:val="lowerLetter"/>
      <w:lvlText w:val="%2."/>
      <w:lvlJc w:val="left"/>
      <w:pPr>
        <w:ind w:left="1440" w:hanging="360"/>
      </w:pPr>
    </w:lvl>
    <w:lvl w:ilvl="2" w:tplc="3586C560">
      <w:start w:val="1"/>
      <w:numFmt w:val="lowerRoman"/>
      <w:lvlText w:val="%3."/>
      <w:lvlJc w:val="right"/>
      <w:pPr>
        <w:ind w:left="2160" w:hanging="180"/>
      </w:pPr>
    </w:lvl>
    <w:lvl w:ilvl="3" w:tplc="A6E4232E">
      <w:start w:val="1"/>
      <w:numFmt w:val="decimal"/>
      <w:lvlText w:val="%4."/>
      <w:lvlJc w:val="left"/>
      <w:pPr>
        <w:ind w:left="2880" w:hanging="360"/>
      </w:pPr>
    </w:lvl>
    <w:lvl w:ilvl="4" w:tplc="F312A6E0">
      <w:start w:val="1"/>
      <w:numFmt w:val="lowerLetter"/>
      <w:lvlText w:val="%5."/>
      <w:lvlJc w:val="left"/>
      <w:pPr>
        <w:ind w:left="3600" w:hanging="360"/>
      </w:pPr>
    </w:lvl>
    <w:lvl w:ilvl="5" w:tplc="880CC250">
      <w:start w:val="1"/>
      <w:numFmt w:val="lowerRoman"/>
      <w:lvlText w:val="%6."/>
      <w:lvlJc w:val="right"/>
      <w:pPr>
        <w:ind w:left="4320" w:hanging="180"/>
      </w:pPr>
    </w:lvl>
    <w:lvl w:ilvl="6" w:tplc="2CEA59DE">
      <w:start w:val="1"/>
      <w:numFmt w:val="decimal"/>
      <w:lvlText w:val="%7."/>
      <w:lvlJc w:val="left"/>
      <w:pPr>
        <w:ind w:left="5040" w:hanging="360"/>
      </w:pPr>
    </w:lvl>
    <w:lvl w:ilvl="7" w:tplc="26169A9A">
      <w:start w:val="1"/>
      <w:numFmt w:val="lowerLetter"/>
      <w:lvlText w:val="%8."/>
      <w:lvlJc w:val="left"/>
      <w:pPr>
        <w:ind w:left="5760" w:hanging="360"/>
      </w:pPr>
    </w:lvl>
    <w:lvl w:ilvl="8" w:tplc="990E5D42">
      <w:start w:val="1"/>
      <w:numFmt w:val="lowerRoman"/>
      <w:lvlText w:val="%9."/>
      <w:lvlJc w:val="right"/>
      <w:pPr>
        <w:ind w:left="6480" w:hanging="180"/>
      </w:pPr>
    </w:lvl>
  </w:abstractNum>
  <w:abstractNum w:abstractNumId="2" w15:restartNumberingAfterBreak="0">
    <w:nsid w:val="2150286C"/>
    <w:multiLevelType w:val="hybridMultilevel"/>
    <w:tmpl w:val="F13890B4"/>
    <w:lvl w:ilvl="0" w:tplc="EEA6EE6C">
      <w:start w:val="1"/>
      <w:numFmt w:val="decimal"/>
      <w:lvlText w:val="%1."/>
      <w:lvlJc w:val="left"/>
      <w:pPr>
        <w:ind w:left="720" w:hanging="360"/>
      </w:pPr>
    </w:lvl>
    <w:lvl w:ilvl="1" w:tplc="23F49244">
      <w:start w:val="1"/>
      <w:numFmt w:val="lowerLetter"/>
      <w:lvlText w:val="%2."/>
      <w:lvlJc w:val="left"/>
      <w:pPr>
        <w:ind w:left="1440" w:hanging="360"/>
      </w:pPr>
    </w:lvl>
    <w:lvl w:ilvl="2" w:tplc="E5C8E932">
      <w:start w:val="1"/>
      <w:numFmt w:val="lowerRoman"/>
      <w:lvlText w:val="%3."/>
      <w:lvlJc w:val="right"/>
      <w:pPr>
        <w:ind w:left="2160" w:hanging="180"/>
      </w:pPr>
    </w:lvl>
    <w:lvl w:ilvl="3" w:tplc="E4BEF76A">
      <w:start w:val="1"/>
      <w:numFmt w:val="decimal"/>
      <w:lvlText w:val="%4."/>
      <w:lvlJc w:val="left"/>
      <w:pPr>
        <w:ind w:left="2880" w:hanging="360"/>
      </w:pPr>
    </w:lvl>
    <w:lvl w:ilvl="4" w:tplc="245EB51A">
      <w:start w:val="1"/>
      <w:numFmt w:val="lowerLetter"/>
      <w:lvlText w:val="%5."/>
      <w:lvlJc w:val="left"/>
      <w:pPr>
        <w:ind w:left="3600" w:hanging="360"/>
      </w:pPr>
    </w:lvl>
    <w:lvl w:ilvl="5" w:tplc="436623F2">
      <w:start w:val="1"/>
      <w:numFmt w:val="lowerRoman"/>
      <w:lvlText w:val="%6."/>
      <w:lvlJc w:val="right"/>
      <w:pPr>
        <w:ind w:left="4320" w:hanging="180"/>
      </w:pPr>
    </w:lvl>
    <w:lvl w:ilvl="6" w:tplc="581C867A">
      <w:start w:val="1"/>
      <w:numFmt w:val="decimal"/>
      <w:lvlText w:val="%7."/>
      <w:lvlJc w:val="left"/>
      <w:pPr>
        <w:ind w:left="5040" w:hanging="360"/>
      </w:pPr>
    </w:lvl>
    <w:lvl w:ilvl="7" w:tplc="78F846BC">
      <w:start w:val="1"/>
      <w:numFmt w:val="lowerLetter"/>
      <w:lvlText w:val="%8."/>
      <w:lvlJc w:val="left"/>
      <w:pPr>
        <w:ind w:left="5760" w:hanging="360"/>
      </w:pPr>
    </w:lvl>
    <w:lvl w:ilvl="8" w:tplc="F0883770">
      <w:start w:val="1"/>
      <w:numFmt w:val="lowerRoman"/>
      <w:lvlText w:val="%9."/>
      <w:lvlJc w:val="right"/>
      <w:pPr>
        <w:ind w:left="6480" w:hanging="180"/>
      </w:pPr>
    </w:lvl>
  </w:abstractNum>
  <w:abstractNum w:abstractNumId="3" w15:restartNumberingAfterBreak="0">
    <w:nsid w:val="24810EF6"/>
    <w:multiLevelType w:val="hybridMultilevel"/>
    <w:tmpl w:val="3C120C6A"/>
    <w:lvl w:ilvl="0" w:tplc="A0B606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BA30C7"/>
    <w:multiLevelType w:val="hybridMultilevel"/>
    <w:tmpl w:val="8DAC8D8E"/>
    <w:lvl w:ilvl="0" w:tplc="6DAE3120">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83AB49"/>
    <w:multiLevelType w:val="hybridMultilevel"/>
    <w:tmpl w:val="50DED088"/>
    <w:lvl w:ilvl="0" w:tplc="69D23F3E">
      <w:start w:val="1"/>
      <w:numFmt w:val="decimal"/>
      <w:lvlText w:val="%1."/>
      <w:lvlJc w:val="left"/>
      <w:pPr>
        <w:ind w:left="720" w:hanging="360"/>
      </w:pPr>
    </w:lvl>
    <w:lvl w:ilvl="1" w:tplc="AB9C15E8">
      <w:start w:val="1"/>
      <w:numFmt w:val="lowerLetter"/>
      <w:lvlText w:val="%2."/>
      <w:lvlJc w:val="left"/>
      <w:pPr>
        <w:ind w:left="1440" w:hanging="360"/>
      </w:pPr>
    </w:lvl>
    <w:lvl w:ilvl="2" w:tplc="DED88ECA">
      <w:start w:val="1"/>
      <w:numFmt w:val="lowerRoman"/>
      <w:lvlText w:val="%3."/>
      <w:lvlJc w:val="right"/>
      <w:pPr>
        <w:ind w:left="2160" w:hanging="180"/>
      </w:pPr>
    </w:lvl>
    <w:lvl w:ilvl="3" w:tplc="71462868">
      <w:start w:val="1"/>
      <w:numFmt w:val="decimal"/>
      <w:lvlText w:val="%4."/>
      <w:lvlJc w:val="left"/>
      <w:pPr>
        <w:ind w:left="2880" w:hanging="360"/>
      </w:pPr>
    </w:lvl>
    <w:lvl w:ilvl="4" w:tplc="94E6B9E2">
      <w:start w:val="1"/>
      <w:numFmt w:val="lowerLetter"/>
      <w:lvlText w:val="%5."/>
      <w:lvlJc w:val="left"/>
      <w:pPr>
        <w:ind w:left="3600" w:hanging="360"/>
      </w:pPr>
    </w:lvl>
    <w:lvl w:ilvl="5" w:tplc="964C852C">
      <w:start w:val="1"/>
      <w:numFmt w:val="lowerRoman"/>
      <w:lvlText w:val="%6."/>
      <w:lvlJc w:val="right"/>
      <w:pPr>
        <w:ind w:left="4320" w:hanging="180"/>
      </w:pPr>
    </w:lvl>
    <w:lvl w:ilvl="6" w:tplc="47A4DA1C">
      <w:start w:val="1"/>
      <w:numFmt w:val="decimal"/>
      <w:lvlText w:val="%7."/>
      <w:lvlJc w:val="left"/>
      <w:pPr>
        <w:ind w:left="5040" w:hanging="360"/>
      </w:pPr>
    </w:lvl>
    <w:lvl w:ilvl="7" w:tplc="1990156C">
      <w:start w:val="1"/>
      <w:numFmt w:val="lowerLetter"/>
      <w:lvlText w:val="%8."/>
      <w:lvlJc w:val="left"/>
      <w:pPr>
        <w:ind w:left="5760" w:hanging="360"/>
      </w:pPr>
    </w:lvl>
    <w:lvl w:ilvl="8" w:tplc="405ED918">
      <w:start w:val="1"/>
      <w:numFmt w:val="lowerRoman"/>
      <w:lvlText w:val="%9."/>
      <w:lvlJc w:val="right"/>
      <w:pPr>
        <w:ind w:left="6480" w:hanging="180"/>
      </w:pPr>
    </w:lvl>
  </w:abstractNum>
  <w:abstractNum w:abstractNumId="6" w15:restartNumberingAfterBreak="0">
    <w:nsid w:val="348459B5"/>
    <w:multiLevelType w:val="hybridMultilevel"/>
    <w:tmpl w:val="8E76E86E"/>
    <w:lvl w:ilvl="0" w:tplc="CDCCB4CC">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35EC5A1A"/>
    <w:multiLevelType w:val="hybridMultilevel"/>
    <w:tmpl w:val="5A9EFCB2"/>
    <w:lvl w:ilvl="0" w:tplc="E066611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0F42441"/>
    <w:multiLevelType w:val="hybridMultilevel"/>
    <w:tmpl w:val="0D9E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ED8D1"/>
    <w:multiLevelType w:val="hybridMultilevel"/>
    <w:tmpl w:val="32B012AC"/>
    <w:lvl w:ilvl="0" w:tplc="C396F214">
      <w:start w:val="1"/>
      <w:numFmt w:val="decimal"/>
      <w:lvlText w:val="%1."/>
      <w:lvlJc w:val="left"/>
      <w:pPr>
        <w:ind w:left="720" w:hanging="360"/>
      </w:pPr>
    </w:lvl>
    <w:lvl w:ilvl="1" w:tplc="80DE3C36">
      <w:start w:val="1"/>
      <w:numFmt w:val="lowerLetter"/>
      <w:lvlText w:val="%2."/>
      <w:lvlJc w:val="left"/>
      <w:pPr>
        <w:ind w:left="1440" w:hanging="360"/>
      </w:pPr>
    </w:lvl>
    <w:lvl w:ilvl="2" w:tplc="6D9ED1B4">
      <w:start w:val="1"/>
      <w:numFmt w:val="lowerRoman"/>
      <w:lvlText w:val="%3."/>
      <w:lvlJc w:val="right"/>
      <w:pPr>
        <w:ind w:left="2160" w:hanging="180"/>
      </w:pPr>
    </w:lvl>
    <w:lvl w:ilvl="3" w:tplc="84A062C6">
      <w:start w:val="1"/>
      <w:numFmt w:val="decimal"/>
      <w:lvlText w:val="%4."/>
      <w:lvlJc w:val="left"/>
      <w:pPr>
        <w:ind w:left="2880" w:hanging="360"/>
      </w:pPr>
    </w:lvl>
    <w:lvl w:ilvl="4" w:tplc="DEEED89C">
      <w:start w:val="1"/>
      <w:numFmt w:val="lowerLetter"/>
      <w:lvlText w:val="%5."/>
      <w:lvlJc w:val="left"/>
      <w:pPr>
        <w:ind w:left="3600" w:hanging="360"/>
      </w:pPr>
    </w:lvl>
    <w:lvl w:ilvl="5" w:tplc="5CD276CC">
      <w:start w:val="1"/>
      <w:numFmt w:val="lowerRoman"/>
      <w:lvlText w:val="%6."/>
      <w:lvlJc w:val="right"/>
      <w:pPr>
        <w:ind w:left="4320" w:hanging="180"/>
      </w:pPr>
    </w:lvl>
    <w:lvl w:ilvl="6" w:tplc="F9EA2812">
      <w:start w:val="1"/>
      <w:numFmt w:val="decimal"/>
      <w:lvlText w:val="%7."/>
      <w:lvlJc w:val="left"/>
      <w:pPr>
        <w:ind w:left="5040" w:hanging="360"/>
      </w:pPr>
    </w:lvl>
    <w:lvl w:ilvl="7" w:tplc="8376D4FC">
      <w:start w:val="1"/>
      <w:numFmt w:val="lowerLetter"/>
      <w:lvlText w:val="%8."/>
      <w:lvlJc w:val="left"/>
      <w:pPr>
        <w:ind w:left="5760" w:hanging="360"/>
      </w:pPr>
    </w:lvl>
    <w:lvl w:ilvl="8" w:tplc="7F1CF1AC">
      <w:start w:val="1"/>
      <w:numFmt w:val="lowerRoman"/>
      <w:lvlText w:val="%9."/>
      <w:lvlJc w:val="right"/>
      <w:pPr>
        <w:ind w:left="6480" w:hanging="180"/>
      </w:pPr>
    </w:lvl>
  </w:abstractNum>
  <w:abstractNum w:abstractNumId="10" w15:restartNumberingAfterBreak="0">
    <w:nsid w:val="487316C8"/>
    <w:multiLevelType w:val="hybridMultilevel"/>
    <w:tmpl w:val="A82E8ADA"/>
    <w:lvl w:ilvl="0" w:tplc="6ECCFEA6">
      <w:start w:val="1"/>
      <w:numFmt w:val="decimal"/>
      <w:lvlText w:val="(%1)"/>
      <w:lvlJc w:val="left"/>
      <w:pPr>
        <w:ind w:left="1080" w:hanging="360"/>
      </w:pPr>
      <w:rPr>
        <w:rFonts w:hint="default"/>
      </w:rPr>
    </w:lvl>
    <w:lvl w:ilvl="1" w:tplc="7F6CE1D2">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49374D"/>
    <w:multiLevelType w:val="hybridMultilevel"/>
    <w:tmpl w:val="1D42D962"/>
    <w:lvl w:ilvl="0" w:tplc="184683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0D3D11D"/>
    <w:multiLevelType w:val="hybridMultilevel"/>
    <w:tmpl w:val="2AA8BDEE"/>
    <w:lvl w:ilvl="0" w:tplc="DEEA5742">
      <w:start w:val="1"/>
      <w:numFmt w:val="decimal"/>
      <w:lvlText w:val="%1."/>
      <w:lvlJc w:val="left"/>
      <w:pPr>
        <w:ind w:left="720" w:hanging="360"/>
      </w:pPr>
    </w:lvl>
    <w:lvl w:ilvl="1" w:tplc="D0029216">
      <w:start w:val="1"/>
      <w:numFmt w:val="lowerLetter"/>
      <w:lvlText w:val="%2."/>
      <w:lvlJc w:val="left"/>
      <w:pPr>
        <w:ind w:left="1440" w:hanging="360"/>
      </w:pPr>
    </w:lvl>
    <w:lvl w:ilvl="2" w:tplc="FEB868D2">
      <w:start w:val="1"/>
      <w:numFmt w:val="lowerRoman"/>
      <w:lvlText w:val="%3."/>
      <w:lvlJc w:val="right"/>
      <w:pPr>
        <w:ind w:left="2160" w:hanging="180"/>
      </w:pPr>
    </w:lvl>
    <w:lvl w:ilvl="3" w:tplc="B2D2A752">
      <w:start w:val="1"/>
      <w:numFmt w:val="decimal"/>
      <w:lvlText w:val="%4."/>
      <w:lvlJc w:val="left"/>
      <w:pPr>
        <w:ind w:left="2880" w:hanging="360"/>
      </w:pPr>
    </w:lvl>
    <w:lvl w:ilvl="4" w:tplc="6576CADE">
      <w:start w:val="1"/>
      <w:numFmt w:val="lowerLetter"/>
      <w:lvlText w:val="%5."/>
      <w:lvlJc w:val="left"/>
      <w:pPr>
        <w:ind w:left="3600" w:hanging="360"/>
      </w:pPr>
    </w:lvl>
    <w:lvl w:ilvl="5" w:tplc="20B87BB4">
      <w:start w:val="1"/>
      <w:numFmt w:val="lowerRoman"/>
      <w:lvlText w:val="%6."/>
      <w:lvlJc w:val="right"/>
      <w:pPr>
        <w:ind w:left="4320" w:hanging="180"/>
      </w:pPr>
    </w:lvl>
    <w:lvl w:ilvl="6" w:tplc="2DA2F03E">
      <w:start w:val="1"/>
      <w:numFmt w:val="decimal"/>
      <w:lvlText w:val="%7."/>
      <w:lvlJc w:val="left"/>
      <w:pPr>
        <w:ind w:left="5040" w:hanging="360"/>
      </w:pPr>
    </w:lvl>
    <w:lvl w:ilvl="7" w:tplc="1F02EE84">
      <w:start w:val="1"/>
      <w:numFmt w:val="lowerLetter"/>
      <w:lvlText w:val="%8."/>
      <w:lvlJc w:val="left"/>
      <w:pPr>
        <w:ind w:left="5760" w:hanging="360"/>
      </w:pPr>
    </w:lvl>
    <w:lvl w:ilvl="8" w:tplc="EF8EDEAE">
      <w:start w:val="1"/>
      <w:numFmt w:val="lowerRoman"/>
      <w:lvlText w:val="%9."/>
      <w:lvlJc w:val="right"/>
      <w:pPr>
        <w:ind w:left="6480" w:hanging="180"/>
      </w:pPr>
    </w:lvl>
  </w:abstractNum>
  <w:abstractNum w:abstractNumId="13" w15:restartNumberingAfterBreak="0">
    <w:nsid w:val="5EFC269D"/>
    <w:multiLevelType w:val="multilevel"/>
    <w:tmpl w:val="37BE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666399"/>
    <w:multiLevelType w:val="hybridMultilevel"/>
    <w:tmpl w:val="3EB05430"/>
    <w:lvl w:ilvl="0" w:tplc="13F066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837A57"/>
    <w:multiLevelType w:val="hybridMultilevel"/>
    <w:tmpl w:val="3B4C5F32"/>
    <w:lvl w:ilvl="0" w:tplc="00F28880">
      <w:start w:val="2"/>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6" w15:restartNumberingAfterBreak="0">
    <w:nsid w:val="713A81E8"/>
    <w:multiLevelType w:val="hybridMultilevel"/>
    <w:tmpl w:val="DB1C3F72"/>
    <w:lvl w:ilvl="0" w:tplc="7CA0A4A6">
      <w:start w:val="1"/>
      <w:numFmt w:val="lowerLetter"/>
      <w:lvlText w:val="(%1)"/>
      <w:lvlJc w:val="left"/>
      <w:pPr>
        <w:ind w:left="927" w:hanging="360"/>
      </w:pPr>
    </w:lvl>
    <w:lvl w:ilvl="1" w:tplc="1E726910">
      <w:start w:val="1"/>
      <w:numFmt w:val="lowerLetter"/>
      <w:lvlText w:val="%2."/>
      <w:lvlJc w:val="left"/>
      <w:pPr>
        <w:ind w:left="1647" w:hanging="360"/>
      </w:pPr>
    </w:lvl>
    <w:lvl w:ilvl="2" w:tplc="F3246AD2">
      <w:start w:val="1"/>
      <w:numFmt w:val="lowerRoman"/>
      <w:lvlText w:val="%3."/>
      <w:lvlJc w:val="right"/>
      <w:pPr>
        <w:ind w:left="2367" w:hanging="180"/>
      </w:pPr>
    </w:lvl>
    <w:lvl w:ilvl="3" w:tplc="991C6E5A">
      <w:start w:val="1"/>
      <w:numFmt w:val="decimal"/>
      <w:lvlText w:val="%4."/>
      <w:lvlJc w:val="left"/>
      <w:pPr>
        <w:ind w:left="3087" w:hanging="360"/>
      </w:pPr>
    </w:lvl>
    <w:lvl w:ilvl="4" w:tplc="E84C6834">
      <w:start w:val="1"/>
      <w:numFmt w:val="lowerLetter"/>
      <w:lvlText w:val="%5."/>
      <w:lvlJc w:val="left"/>
      <w:pPr>
        <w:ind w:left="3807" w:hanging="360"/>
      </w:pPr>
    </w:lvl>
    <w:lvl w:ilvl="5" w:tplc="EB50EEB4">
      <w:start w:val="1"/>
      <w:numFmt w:val="lowerRoman"/>
      <w:lvlText w:val="%6."/>
      <w:lvlJc w:val="right"/>
      <w:pPr>
        <w:ind w:left="4527" w:hanging="180"/>
      </w:pPr>
    </w:lvl>
    <w:lvl w:ilvl="6" w:tplc="2A7E7358">
      <w:start w:val="1"/>
      <w:numFmt w:val="decimal"/>
      <w:lvlText w:val="%7."/>
      <w:lvlJc w:val="left"/>
      <w:pPr>
        <w:ind w:left="5247" w:hanging="360"/>
      </w:pPr>
    </w:lvl>
    <w:lvl w:ilvl="7" w:tplc="62748BC8">
      <w:start w:val="1"/>
      <w:numFmt w:val="lowerLetter"/>
      <w:lvlText w:val="%8."/>
      <w:lvlJc w:val="left"/>
      <w:pPr>
        <w:ind w:left="5967" w:hanging="360"/>
      </w:pPr>
    </w:lvl>
    <w:lvl w:ilvl="8" w:tplc="FA484606">
      <w:start w:val="1"/>
      <w:numFmt w:val="lowerRoman"/>
      <w:lvlText w:val="%9."/>
      <w:lvlJc w:val="right"/>
      <w:pPr>
        <w:ind w:left="6687" w:hanging="180"/>
      </w:pPr>
    </w:lvl>
  </w:abstractNum>
  <w:abstractNum w:abstractNumId="17" w15:restartNumberingAfterBreak="0">
    <w:nsid w:val="75D70B9F"/>
    <w:multiLevelType w:val="multilevel"/>
    <w:tmpl w:val="F4CA8C00"/>
    <w:lvl w:ilvl="0">
      <w:start w:val="1"/>
      <w:numFmt w:val="decimal"/>
      <w:pStyle w:val="ParaLevel1"/>
      <w:lvlText w:val="%1."/>
      <w:lvlJc w:val="left"/>
      <w:pPr>
        <w:tabs>
          <w:tab w:val="num" w:pos="720"/>
        </w:tabs>
        <w:ind w:left="720" w:hanging="720"/>
      </w:pPr>
      <w:rPr>
        <w:rFonts w:ascii="Times New Roman" w:hAnsi="Times New Roman"/>
        <w:b w:val="0"/>
        <w:i w:val="0"/>
        <w:sz w:val="24"/>
        <w:szCs w:val="24"/>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2552"/>
        </w:tabs>
        <w:ind w:left="2552"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18" w15:restartNumberingAfterBreak="0">
    <w:nsid w:val="7B9C593B"/>
    <w:multiLevelType w:val="hybridMultilevel"/>
    <w:tmpl w:val="12AEF0E8"/>
    <w:lvl w:ilvl="0" w:tplc="1C1840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D614244"/>
    <w:multiLevelType w:val="hybridMultilevel"/>
    <w:tmpl w:val="D6AACF9C"/>
    <w:lvl w:ilvl="0" w:tplc="871E1A54">
      <w:start w:val="1"/>
      <w:numFmt w:val="decimal"/>
      <w:lvlText w:val="(%1)"/>
      <w:lvlJc w:val="left"/>
      <w:pPr>
        <w:ind w:left="768" w:hanging="408"/>
      </w:pPr>
      <w:rPr>
        <w:rFonts w:hint="default"/>
      </w:rPr>
    </w:lvl>
    <w:lvl w:ilvl="1" w:tplc="7F6CE1D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5"/>
  </w:num>
  <w:num w:numId="3">
    <w:abstractNumId w:val="1"/>
  </w:num>
  <w:num w:numId="4">
    <w:abstractNumId w:val="12"/>
  </w:num>
  <w:num w:numId="5">
    <w:abstractNumId w:val="9"/>
  </w:num>
  <w:num w:numId="6">
    <w:abstractNumId w:val="2"/>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19"/>
  </w:num>
  <w:num w:numId="22">
    <w:abstractNumId w:val="3"/>
  </w:num>
  <w:num w:numId="23">
    <w:abstractNumId w:val="14"/>
  </w:num>
  <w:num w:numId="24">
    <w:abstractNumId w:val="10"/>
  </w:num>
  <w:num w:numId="25">
    <w:abstractNumId w:val="11"/>
  </w:num>
  <w:num w:numId="26">
    <w:abstractNumId w:val="13"/>
    <w:lvlOverride w:ilvl="0">
      <w:startOverride w:val="21"/>
    </w:lvlOverride>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D7"/>
    <w:rsid w:val="00001DC1"/>
    <w:rsid w:val="00002D20"/>
    <w:rsid w:val="00010759"/>
    <w:rsid w:val="00010FC4"/>
    <w:rsid w:val="00013ACD"/>
    <w:rsid w:val="00014B5D"/>
    <w:rsid w:val="00014F61"/>
    <w:rsid w:val="00015132"/>
    <w:rsid w:val="00015B42"/>
    <w:rsid w:val="00016814"/>
    <w:rsid w:val="00017AC1"/>
    <w:rsid w:val="00017FA3"/>
    <w:rsid w:val="00020CB2"/>
    <w:rsid w:val="00021066"/>
    <w:rsid w:val="00025DAD"/>
    <w:rsid w:val="00031331"/>
    <w:rsid w:val="000373D6"/>
    <w:rsid w:val="0004190C"/>
    <w:rsid w:val="00041E78"/>
    <w:rsid w:val="00042584"/>
    <w:rsid w:val="00042DB1"/>
    <w:rsid w:val="00042F83"/>
    <w:rsid w:val="00045BE7"/>
    <w:rsid w:val="00047DD9"/>
    <w:rsid w:val="0005217D"/>
    <w:rsid w:val="00053994"/>
    <w:rsid w:val="0005566F"/>
    <w:rsid w:val="00055D28"/>
    <w:rsid w:val="00057144"/>
    <w:rsid w:val="00057866"/>
    <w:rsid w:val="00060C5A"/>
    <w:rsid w:val="00062A38"/>
    <w:rsid w:val="000648E3"/>
    <w:rsid w:val="000657BF"/>
    <w:rsid w:val="00066209"/>
    <w:rsid w:val="000720AB"/>
    <w:rsid w:val="000734A9"/>
    <w:rsid w:val="00073CC6"/>
    <w:rsid w:val="0007513F"/>
    <w:rsid w:val="00076778"/>
    <w:rsid w:val="00080224"/>
    <w:rsid w:val="00081F36"/>
    <w:rsid w:val="00082379"/>
    <w:rsid w:val="00084C7B"/>
    <w:rsid w:val="000857BC"/>
    <w:rsid w:val="0009209B"/>
    <w:rsid w:val="0009295B"/>
    <w:rsid w:val="000968BE"/>
    <w:rsid w:val="0009739A"/>
    <w:rsid w:val="000A029E"/>
    <w:rsid w:val="000A0C4C"/>
    <w:rsid w:val="000A1388"/>
    <w:rsid w:val="000A1A4A"/>
    <w:rsid w:val="000A3405"/>
    <w:rsid w:val="000A5413"/>
    <w:rsid w:val="000A7B3D"/>
    <w:rsid w:val="000B1DB8"/>
    <w:rsid w:val="000B2500"/>
    <w:rsid w:val="000B2A9D"/>
    <w:rsid w:val="000C090C"/>
    <w:rsid w:val="000C0B6D"/>
    <w:rsid w:val="000C224C"/>
    <w:rsid w:val="000C63BA"/>
    <w:rsid w:val="000D1659"/>
    <w:rsid w:val="000D320A"/>
    <w:rsid w:val="000D5C31"/>
    <w:rsid w:val="000E2903"/>
    <w:rsid w:val="000E787D"/>
    <w:rsid w:val="000F1B7B"/>
    <w:rsid w:val="000F343B"/>
    <w:rsid w:val="000F5CEF"/>
    <w:rsid w:val="00102ED3"/>
    <w:rsid w:val="00102F4E"/>
    <w:rsid w:val="001055A1"/>
    <w:rsid w:val="00107B61"/>
    <w:rsid w:val="00107CAA"/>
    <w:rsid w:val="001159DE"/>
    <w:rsid w:val="0012156C"/>
    <w:rsid w:val="0012213A"/>
    <w:rsid w:val="00123B88"/>
    <w:rsid w:val="00124C9B"/>
    <w:rsid w:val="001310C4"/>
    <w:rsid w:val="001310FA"/>
    <w:rsid w:val="00134AA9"/>
    <w:rsid w:val="00134FBD"/>
    <w:rsid w:val="001407B0"/>
    <w:rsid w:val="00141E13"/>
    <w:rsid w:val="00142A98"/>
    <w:rsid w:val="001432C6"/>
    <w:rsid w:val="00144C12"/>
    <w:rsid w:val="00144D36"/>
    <w:rsid w:val="001477FC"/>
    <w:rsid w:val="001500D0"/>
    <w:rsid w:val="00153DEF"/>
    <w:rsid w:val="00154240"/>
    <w:rsid w:val="00170E2D"/>
    <w:rsid w:val="00172DD3"/>
    <w:rsid w:val="00174E16"/>
    <w:rsid w:val="00175B90"/>
    <w:rsid w:val="0017624B"/>
    <w:rsid w:val="001773C2"/>
    <w:rsid w:val="001808B0"/>
    <w:rsid w:val="00181C9D"/>
    <w:rsid w:val="00183F42"/>
    <w:rsid w:val="00184303"/>
    <w:rsid w:val="0019044F"/>
    <w:rsid w:val="00191E55"/>
    <w:rsid w:val="0019249A"/>
    <w:rsid w:val="001932AC"/>
    <w:rsid w:val="00194324"/>
    <w:rsid w:val="00194AFC"/>
    <w:rsid w:val="00196217"/>
    <w:rsid w:val="0019687D"/>
    <w:rsid w:val="001A1926"/>
    <w:rsid w:val="001A2D0A"/>
    <w:rsid w:val="001A3455"/>
    <w:rsid w:val="001A4ED2"/>
    <w:rsid w:val="001A6634"/>
    <w:rsid w:val="001A7793"/>
    <w:rsid w:val="001B119D"/>
    <w:rsid w:val="001B2E8C"/>
    <w:rsid w:val="001B31B0"/>
    <w:rsid w:val="001B42D2"/>
    <w:rsid w:val="001B61BB"/>
    <w:rsid w:val="001B68B2"/>
    <w:rsid w:val="001B7629"/>
    <w:rsid w:val="001C17CB"/>
    <w:rsid w:val="001C1D1A"/>
    <w:rsid w:val="001C399D"/>
    <w:rsid w:val="001C6CC1"/>
    <w:rsid w:val="001D2CD0"/>
    <w:rsid w:val="001E04B6"/>
    <w:rsid w:val="001E174E"/>
    <w:rsid w:val="001E2A22"/>
    <w:rsid w:val="001E2E1A"/>
    <w:rsid w:val="001E3B08"/>
    <w:rsid w:val="001E3E50"/>
    <w:rsid w:val="001E4728"/>
    <w:rsid w:val="001E6EE3"/>
    <w:rsid w:val="001F4662"/>
    <w:rsid w:val="001F6716"/>
    <w:rsid w:val="001F7D85"/>
    <w:rsid w:val="0020006B"/>
    <w:rsid w:val="0020165F"/>
    <w:rsid w:val="002023FC"/>
    <w:rsid w:val="0020520F"/>
    <w:rsid w:val="00205579"/>
    <w:rsid w:val="00207842"/>
    <w:rsid w:val="00210787"/>
    <w:rsid w:val="0021282E"/>
    <w:rsid w:val="00213C73"/>
    <w:rsid w:val="00216FD0"/>
    <w:rsid w:val="002210F1"/>
    <w:rsid w:val="00221393"/>
    <w:rsid w:val="002235DC"/>
    <w:rsid w:val="00224104"/>
    <w:rsid w:val="002256B3"/>
    <w:rsid w:val="002259BF"/>
    <w:rsid w:val="00225CBC"/>
    <w:rsid w:val="0023133B"/>
    <w:rsid w:val="00231AD9"/>
    <w:rsid w:val="0023440B"/>
    <w:rsid w:val="00234913"/>
    <w:rsid w:val="00235214"/>
    <w:rsid w:val="0023564C"/>
    <w:rsid w:val="002364FA"/>
    <w:rsid w:val="00242BB1"/>
    <w:rsid w:val="002447DC"/>
    <w:rsid w:val="00247E5E"/>
    <w:rsid w:val="002517BF"/>
    <w:rsid w:val="00254DEA"/>
    <w:rsid w:val="00260866"/>
    <w:rsid w:val="00260B0A"/>
    <w:rsid w:val="00261B0C"/>
    <w:rsid w:val="002624A4"/>
    <w:rsid w:val="00262C8E"/>
    <w:rsid w:val="002630AD"/>
    <w:rsid w:val="00277AA6"/>
    <w:rsid w:val="002809C9"/>
    <w:rsid w:val="00280BD1"/>
    <w:rsid w:val="0029000F"/>
    <w:rsid w:val="002901F0"/>
    <w:rsid w:val="002904A7"/>
    <w:rsid w:val="00291556"/>
    <w:rsid w:val="002931FD"/>
    <w:rsid w:val="00296949"/>
    <w:rsid w:val="00296BBC"/>
    <w:rsid w:val="002A020E"/>
    <w:rsid w:val="002A0E70"/>
    <w:rsid w:val="002A1519"/>
    <w:rsid w:val="002A1AE9"/>
    <w:rsid w:val="002A1F6B"/>
    <w:rsid w:val="002A2971"/>
    <w:rsid w:val="002A3DB3"/>
    <w:rsid w:val="002A46A9"/>
    <w:rsid w:val="002A50CA"/>
    <w:rsid w:val="002A54BA"/>
    <w:rsid w:val="002A7E26"/>
    <w:rsid w:val="002B6EE4"/>
    <w:rsid w:val="002B734F"/>
    <w:rsid w:val="002C015C"/>
    <w:rsid w:val="002C0578"/>
    <w:rsid w:val="002C0790"/>
    <w:rsid w:val="002C0EE1"/>
    <w:rsid w:val="002C4478"/>
    <w:rsid w:val="002C466F"/>
    <w:rsid w:val="002C53AB"/>
    <w:rsid w:val="002C5552"/>
    <w:rsid w:val="002C597C"/>
    <w:rsid w:val="002D0EEF"/>
    <w:rsid w:val="002E23F9"/>
    <w:rsid w:val="002E2A7E"/>
    <w:rsid w:val="002E52E8"/>
    <w:rsid w:val="002F4616"/>
    <w:rsid w:val="002F4E53"/>
    <w:rsid w:val="002F75A5"/>
    <w:rsid w:val="0030300A"/>
    <w:rsid w:val="0030360F"/>
    <w:rsid w:val="00303A5D"/>
    <w:rsid w:val="00306189"/>
    <w:rsid w:val="00306FF8"/>
    <w:rsid w:val="00310AA5"/>
    <w:rsid w:val="00311DFC"/>
    <w:rsid w:val="003124C7"/>
    <w:rsid w:val="0031384F"/>
    <w:rsid w:val="00313B18"/>
    <w:rsid w:val="00314246"/>
    <w:rsid w:val="00315528"/>
    <w:rsid w:val="003171B2"/>
    <w:rsid w:val="0031766B"/>
    <w:rsid w:val="003178D3"/>
    <w:rsid w:val="0032245D"/>
    <w:rsid w:val="00323C3E"/>
    <w:rsid w:val="0032404D"/>
    <w:rsid w:val="00324A13"/>
    <w:rsid w:val="00330015"/>
    <w:rsid w:val="00333548"/>
    <w:rsid w:val="00335F19"/>
    <w:rsid w:val="003363FF"/>
    <w:rsid w:val="0034273F"/>
    <w:rsid w:val="00343843"/>
    <w:rsid w:val="003441E7"/>
    <w:rsid w:val="00350E0A"/>
    <w:rsid w:val="00351493"/>
    <w:rsid w:val="0035312A"/>
    <w:rsid w:val="00357A7E"/>
    <w:rsid w:val="00360336"/>
    <w:rsid w:val="0036103E"/>
    <w:rsid w:val="0036114B"/>
    <w:rsid w:val="00361784"/>
    <w:rsid w:val="003622BB"/>
    <w:rsid w:val="00363638"/>
    <w:rsid w:val="00372473"/>
    <w:rsid w:val="003728A2"/>
    <w:rsid w:val="00380167"/>
    <w:rsid w:val="00380ED1"/>
    <w:rsid w:val="0038217B"/>
    <w:rsid w:val="00383217"/>
    <w:rsid w:val="00385548"/>
    <w:rsid w:val="00385A9D"/>
    <w:rsid w:val="003920B2"/>
    <w:rsid w:val="0039322E"/>
    <w:rsid w:val="00394821"/>
    <w:rsid w:val="003953A9"/>
    <w:rsid w:val="003A06E1"/>
    <w:rsid w:val="003A1E36"/>
    <w:rsid w:val="003A4C5F"/>
    <w:rsid w:val="003A6AEB"/>
    <w:rsid w:val="003A6F88"/>
    <w:rsid w:val="003A76F7"/>
    <w:rsid w:val="003B0C9F"/>
    <w:rsid w:val="003B22FA"/>
    <w:rsid w:val="003B5434"/>
    <w:rsid w:val="003B73E6"/>
    <w:rsid w:val="003C07B8"/>
    <w:rsid w:val="003C35EA"/>
    <w:rsid w:val="003C3E45"/>
    <w:rsid w:val="003C55BB"/>
    <w:rsid w:val="003C63ED"/>
    <w:rsid w:val="003D19B4"/>
    <w:rsid w:val="003D5678"/>
    <w:rsid w:val="003D5CCD"/>
    <w:rsid w:val="003E048E"/>
    <w:rsid w:val="003E0C51"/>
    <w:rsid w:val="003E0C5E"/>
    <w:rsid w:val="003E3202"/>
    <w:rsid w:val="003E6476"/>
    <w:rsid w:val="003F03FE"/>
    <w:rsid w:val="003F14B2"/>
    <w:rsid w:val="003F6FA3"/>
    <w:rsid w:val="00402982"/>
    <w:rsid w:val="00404A38"/>
    <w:rsid w:val="00405A2D"/>
    <w:rsid w:val="00405ED6"/>
    <w:rsid w:val="00406858"/>
    <w:rsid w:val="00410F57"/>
    <w:rsid w:val="0041169F"/>
    <w:rsid w:val="0042314F"/>
    <w:rsid w:val="00423BB7"/>
    <w:rsid w:val="0042401F"/>
    <w:rsid w:val="00425D2E"/>
    <w:rsid w:val="00426797"/>
    <w:rsid w:val="0043007E"/>
    <w:rsid w:val="00434193"/>
    <w:rsid w:val="00435742"/>
    <w:rsid w:val="004378E1"/>
    <w:rsid w:val="00443973"/>
    <w:rsid w:val="00444F93"/>
    <w:rsid w:val="00447AD0"/>
    <w:rsid w:val="00450CD1"/>
    <w:rsid w:val="00451E98"/>
    <w:rsid w:val="004531CA"/>
    <w:rsid w:val="00454B26"/>
    <w:rsid w:val="00454F92"/>
    <w:rsid w:val="00457B47"/>
    <w:rsid w:val="00460F9D"/>
    <w:rsid w:val="00465BF1"/>
    <w:rsid w:val="00465FB7"/>
    <w:rsid w:val="004667CA"/>
    <w:rsid w:val="00466894"/>
    <w:rsid w:val="004673BA"/>
    <w:rsid w:val="004721D8"/>
    <w:rsid w:val="00472352"/>
    <w:rsid w:val="00472CE3"/>
    <w:rsid w:val="00472DBA"/>
    <w:rsid w:val="004752F3"/>
    <w:rsid w:val="00481822"/>
    <w:rsid w:val="004821CD"/>
    <w:rsid w:val="00483FA9"/>
    <w:rsid w:val="0048651A"/>
    <w:rsid w:val="00490CEE"/>
    <w:rsid w:val="0049314F"/>
    <w:rsid w:val="00493AE5"/>
    <w:rsid w:val="004948FA"/>
    <w:rsid w:val="00495294"/>
    <w:rsid w:val="00496DDD"/>
    <w:rsid w:val="00497B32"/>
    <w:rsid w:val="00497BF9"/>
    <w:rsid w:val="004A312A"/>
    <w:rsid w:val="004A3B18"/>
    <w:rsid w:val="004A4245"/>
    <w:rsid w:val="004A676F"/>
    <w:rsid w:val="004A705C"/>
    <w:rsid w:val="004B44FC"/>
    <w:rsid w:val="004B6958"/>
    <w:rsid w:val="004C337F"/>
    <w:rsid w:val="004C37BF"/>
    <w:rsid w:val="004C54B1"/>
    <w:rsid w:val="004C5E4D"/>
    <w:rsid w:val="004D01A0"/>
    <w:rsid w:val="004D42F5"/>
    <w:rsid w:val="004E1150"/>
    <w:rsid w:val="004E34AC"/>
    <w:rsid w:val="004E4589"/>
    <w:rsid w:val="004E4E8F"/>
    <w:rsid w:val="004F0D5D"/>
    <w:rsid w:val="004F0E82"/>
    <w:rsid w:val="004F1AC6"/>
    <w:rsid w:val="004F2CC4"/>
    <w:rsid w:val="004F4CE6"/>
    <w:rsid w:val="004F4E54"/>
    <w:rsid w:val="004F4ED8"/>
    <w:rsid w:val="004F5120"/>
    <w:rsid w:val="005012DE"/>
    <w:rsid w:val="0050271F"/>
    <w:rsid w:val="005031C5"/>
    <w:rsid w:val="00511E69"/>
    <w:rsid w:val="00513587"/>
    <w:rsid w:val="00516100"/>
    <w:rsid w:val="0052315D"/>
    <w:rsid w:val="005237E3"/>
    <w:rsid w:val="00531EBF"/>
    <w:rsid w:val="00532B6D"/>
    <w:rsid w:val="0053478C"/>
    <w:rsid w:val="00535EB4"/>
    <w:rsid w:val="00537243"/>
    <w:rsid w:val="005374E0"/>
    <w:rsid w:val="005443F2"/>
    <w:rsid w:val="00545FEB"/>
    <w:rsid w:val="00547145"/>
    <w:rsid w:val="00553177"/>
    <w:rsid w:val="0055329D"/>
    <w:rsid w:val="0055367E"/>
    <w:rsid w:val="00555832"/>
    <w:rsid w:val="00556B5C"/>
    <w:rsid w:val="00557A9B"/>
    <w:rsid w:val="005604F3"/>
    <w:rsid w:val="00560F44"/>
    <w:rsid w:val="00564A3E"/>
    <w:rsid w:val="0056555B"/>
    <w:rsid w:val="0056628A"/>
    <w:rsid w:val="00572980"/>
    <w:rsid w:val="00574BFC"/>
    <w:rsid w:val="00577D14"/>
    <w:rsid w:val="00577D6B"/>
    <w:rsid w:val="005808E3"/>
    <w:rsid w:val="00580D67"/>
    <w:rsid w:val="00582691"/>
    <w:rsid w:val="00582CDD"/>
    <w:rsid w:val="00583169"/>
    <w:rsid w:val="00585B4B"/>
    <w:rsid w:val="00586A56"/>
    <w:rsid w:val="0058716B"/>
    <w:rsid w:val="00591E4C"/>
    <w:rsid w:val="0059287A"/>
    <w:rsid w:val="005A0378"/>
    <w:rsid w:val="005A08E1"/>
    <w:rsid w:val="005A0D46"/>
    <w:rsid w:val="005A142A"/>
    <w:rsid w:val="005A3474"/>
    <w:rsid w:val="005A38B2"/>
    <w:rsid w:val="005A6933"/>
    <w:rsid w:val="005B328C"/>
    <w:rsid w:val="005B3E44"/>
    <w:rsid w:val="005B70EA"/>
    <w:rsid w:val="005C4376"/>
    <w:rsid w:val="005C4EB5"/>
    <w:rsid w:val="005C66F3"/>
    <w:rsid w:val="005C6D95"/>
    <w:rsid w:val="005C6F90"/>
    <w:rsid w:val="005D07C7"/>
    <w:rsid w:val="005D32BD"/>
    <w:rsid w:val="005D45F3"/>
    <w:rsid w:val="005D49AB"/>
    <w:rsid w:val="005D59FA"/>
    <w:rsid w:val="005E2409"/>
    <w:rsid w:val="005E3851"/>
    <w:rsid w:val="005E41F8"/>
    <w:rsid w:val="005E450B"/>
    <w:rsid w:val="005E4539"/>
    <w:rsid w:val="005E5901"/>
    <w:rsid w:val="005E666D"/>
    <w:rsid w:val="005E7482"/>
    <w:rsid w:val="005E7D47"/>
    <w:rsid w:val="005F2B60"/>
    <w:rsid w:val="005F5CFE"/>
    <w:rsid w:val="005F6AC2"/>
    <w:rsid w:val="005F719E"/>
    <w:rsid w:val="00600531"/>
    <w:rsid w:val="00601872"/>
    <w:rsid w:val="00604870"/>
    <w:rsid w:val="00610418"/>
    <w:rsid w:val="006117C0"/>
    <w:rsid w:val="00611810"/>
    <w:rsid w:val="0061239B"/>
    <w:rsid w:val="006137B2"/>
    <w:rsid w:val="00613C0A"/>
    <w:rsid w:val="006152CA"/>
    <w:rsid w:val="00615708"/>
    <w:rsid w:val="006220A5"/>
    <w:rsid w:val="00622BCA"/>
    <w:rsid w:val="006242E8"/>
    <w:rsid w:val="00624811"/>
    <w:rsid w:val="006266B1"/>
    <w:rsid w:val="006276E1"/>
    <w:rsid w:val="0062772F"/>
    <w:rsid w:val="00634D73"/>
    <w:rsid w:val="006379DB"/>
    <w:rsid w:val="00641D7F"/>
    <w:rsid w:val="00643141"/>
    <w:rsid w:val="006431A0"/>
    <w:rsid w:val="006444D7"/>
    <w:rsid w:val="00646650"/>
    <w:rsid w:val="0064797B"/>
    <w:rsid w:val="00647C17"/>
    <w:rsid w:val="00651874"/>
    <w:rsid w:val="00652FA8"/>
    <w:rsid w:val="00655F86"/>
    <w:rsid w:val="0065662B"/>
    <w:rsid w:val="00657532"/>
    <w:rsid w:val="00671DB1"/>
    <w:rsid w:val="00672AD7"/>
    <w:rsid w:val="00675464"/>
    <w:rsid w:val="00676FD4"/>
    <w:rsid w:val="006808EA"/>
    <w:rsid w:val="00681D08"/>
    <w:rsid w:val="00683704"/>
    <w:rsid w:val="00683ADE"/>
    <w:rsid w:val="00684D97"/>
    <w:rsid w:val="00687919"/>
    <w:rsid w:val="00690524"/>
    <w:rsid w:val="00690A59"/>
    <w:rsid w:val="006A1FCC"/>
    <w:rsid w:val="006A24C2"/>
    <w:rsid w:val="006A49BC"/>
    <w:rsid w:val="006A60FA"/>
    <w:rsid w:val="006A6217"/>
    <w:rsid w:val="006A6347"/>
    <w:rsid w:val="006B0E87"/>
    <w:rsid w:val="006B2A70"/>
    <w:rsid w:val="006B5E15"/>
    <w:rsid w:val="006B7925"/>
    <w:rsid w:val="006C41F6"/>
    <w:rsid w:val="006C53B5"/>
    <w:rsid w:val="006C7DB2"/>
    <w:rsid w:val="006D01B1"/>
    <w:rsid w:val="006D5048"/>
    <w:rsid w:val="006D52D1"/>
    <w:rsid w:val="006D5B97"/>
    <w:rsid w:val="006E05F6"/>
    <w:rsid w:val="006E1EC8"/>
    <w:rsid w:val="006E2F06"/>
    <w:rsid w:val="006E6E43"/>
    <w:rsid w:val="006F38C1"/>
    <w:rsid w:val="006F3CB1"/>
    <w:rsid w:val="006F4A10"/>
    <w:rsid w:val="00701CCC"/>
    <w:rsid w:val="00702CF3"/>
    <w:rsid w:val="00703E70"/>
    <w:rsid w:val="00705CF7"/>
    <w:rsid w:val="007126F5"/>
    <w:rsid w:val="007126F6"/>
    <w:rsid w:val="0071439A"/>
    <w:rsid w:val="0072364E"/>
    <w:rsid w:val="00723807"/>
    <w:rsid w:val="00725E13"/>
    <w:rsid w:val="007310C4"/>
    <w:rsid w:val="00733CFE"/>
    <w:rsid w:val="00736284"/>
    <w:rsid w:val="00736419"/>
    <w:rsid w:val="00736484"/>
    <w:rsid w:val="00740279"/>
    <w:rsid w:val="007453C0"/>
    <w:rsid w:val="007476CE"/>
    <w:rsid w:val="00747750"/>
    <w:rsid w:val="00747DD4"/>
    <w:rsid w:val="00750A29"/>
    <w:rsid w:val="0075255D"/>
    <w:rsid w:val="00753875"/>
    <w:rsid w:val="007539AC"/>
    <w:rsid w:val="00756547"/>
    <w:rsid w:val="0075684F"/>
    <w:rsid w:val="00761648"/>
    <w:rsid w:val="00761A74"/>
    <w:rsid w:val="00762574"/>
    <w:rsid w:val="0076390D"/>
    <w:rsid w:val="00764D4B"/>
    <w:rsid w:val="007655C3"/>
    <w:rsid w:val="007679EE"/>
    <w:rsid w:val="00770CE6"/>
    <w:rsid w:val="0077187F"/>
    <w:rsid w:val="007720FB"/>
    <w:rsid w:val="00772AB4"/>
    <w:rsid w:val="00773B2C"/>
    <w:rsid w:val="007744A6"/>
    <w:rsid w:val="007755FB"/>
    <w:rsid w:val="00775D91"/>
    <w:rsid w:val="00777239"/>
    <w:rsid w:val="0077798C"/>
    <w:rsid w:val="00780F3A"/>
    <w:rsid w:val="00783D20"/>
    <w:rsid w:val="00784A26"/>
    <w:rsid w:val="00785C21"/>
    <w:rsid w:val="007860D3"/>
    <w:rsid w:val="0078665E"/>
    <w:rsid w:val="00791394"/>
    <w:rsid w:val="007920AF"/>
    <w:rsid w:val="00792F55"/>
    <w:rsid w:val="00793D31"/>
    <w:rsid w:val="00793E16"/>
    <w:rsid w:val="00793E1B"/>
    <w:rsid w:val="00795E71"/>
    <w:rsid w:val="007A06B9"/>
    <w:rsid w:val="007A182F"/>
    <w:rsid w:val="007A1D0A"/>
    <w:rsid w:val="007A257C"/>
    <w:rsid w:val="007A38E7"/>
    <w:rsid w:val="007A4E91"/>
    <w:rsid w:val="007A52EF"/>
    <w:rsid w:val="007A7B69"/>
    <w:rsid w:val="007B4A0F"/>
    <w:rsid w:val="007C0AFB"/>
    <w:rsid w:val="007C63E6"/>
    <w:rsid w:val="007C6CF7"/>
    <w:rsid w:val="007C759D"/>
    <w:rsid w:val="007D0983"/>
    <w:rsid w:val="007D10C6"/>
    <w:rsid w:val="007D1DCE"/>
    <w:rsid w:val="007D214B"/>
    <w:rsid w:val="007D3260"/>
    <w:rsid w:val="007D449D"/>
    <w:rsid w:val="007D50BB"/>
    <w:rsid w:val="007D7410"/>
    <w:rsid w:val="007E2DC4"/>
    <w:rsid w:val="007E5E70"/>
    <w:rsid w:val="007E6492"/>
    <w:rsid w:val="007E70D9"/>
    <w:rsid w:val="007F1CB1"/>
    <w:rsid w:val="007F43D7"/>
    <w:rsid w:val="007F53DE"/>
    <w:rsid w:val="007F73C0"/>
    <w:rsid w:val="00801325"/>
    <w:rsid w:val="00801ECE"/>
    <w:rsid w:val="00803BD5"/>
    <w:rsid w:val="00803EA0"/>
    <w:rsid w:val="00811844"/>
    <w:rsid w:val="0081220B"/>
    <w:rsid w:val="0081354C"/>
    <w:rsid w:val="00813E00"/>
    <w:rsid w:val="00814611"/>
    <w:rsid w:val="00820AA9"/>
    <w:rsid w:val="00821C10"/>
    <w:rsid w:val="00822428"/>
    <w:rsid w:val="0082657E"/>
    <w:rsid w:val="008278AB"/>
    <w:rsid w:val="00831CC3"/>
    <w:rsid w:val="00833E3E"/>
    <w:rsid w:val="00834C01"/>
    <w:rsid w:val="00834E4D"/>
    <w:rsid w:val="00841042"/>
    <w:rsid w:val="008411AF"/>
    <w:rsid w:val="008420D1"/>
    <w:rsid w:val="00845BF0"/>
    <w:rsid w:val="00846630"/>
    <w:rsid w:val="00850ACA"/>
    <w:rsid w:val="00850C0B"/>
    <w:rsid w:val="0085144B"/>
    <w:rsid w:val="008524BD"/>
    <w:rsid w:val="008578C1"/>
    <w:rsid w:val="00857966"/>
    <w:rsid w:val="00860601"/>
    <w:rsid w:val="00865439"/>
    <w:rsid w:val="00866A50"/>
    <w:rsid w:val="00867B65"/>
    <w:rsid w:val="00870849"/>
    <w:rsid w:val="008714BD"/>
    <w:rsid w:val="00871CC0"/>
    <w:rsid w:val="008731B0"/>
    <w:rsid w:val="008735A6"/>
    <w:rsid w:val="00874781"/>
    <w:rsid w:val="008760B1"/>
    <w:rsid w:val="00883DB2"/>
    <w:rsid w:val="008873C1"/>
    <w:rsid w:val="008904B3"/>
    <w:rsid w:val="0089205C"/>
    <w:rsid w:val="00893C1B"/>
    <w:rsid w:val="00896A62"/>
    <w:rsid w:val="008A2F88"/>
    <w:rsid w:val="008A4221"/>
    <w:rsid w:val="008A48AA"/>
    <w:rsid w:val="008A510D"/>
    <w:rsid w:val="008A6122"/>
    <w:rsid w:val="008A7A6B"/>
    <w:rsid w:val="008B171F"/>
    <w:rsid w:val="008B2BC3"/>
    <w:rsid w:val="008B3BB0"/>
    <w:rsid w:val="008B6111"/>
    <w:rsid w:val="008B7895"/>
    <w:rsid w:val="008C2E8B"/>
    <w:rsid w:val="008C3792"/>
    <w:rsid w:val="008C7653"/>
    <w:rsid w:val="008D0B2B"/>
    <w:rsid w:val="008D130C"/>
    <w:rsid w:val="008D2F2C"/>
    <w:rsid w:val="008E238E"/>
    <w:rsid w:val="008E254E"/>
    <w:rsid w:val="008E367A"/>
    <w:rsid w:val="008F09A4"/>
    <w:rsid w:val="008F1367"/>
    <w:rsid w:val="008F4951"/>
    <w:rsid w:val="008F6206"/>
    <w:rsid w:val="008F70AB"/>
    <w:rsid w:val="008F766A"/>
    <w:rsid w:val="008F7A45"/>
    <w:rsid w:val="008F7F32"/>
    <w:rsid w:val="0090015C"/>
    <w:rsid w:val="00900282"/>
    <w:rsid w:val="00905815"/>
    <w:rsid w:val="00905987"/>
    <w:rsid w:val="009070FF"/>
    <w:rsid w:val="009075A9"/>
    <w:rsid w:val="0091201A"/>
    <w:rsid w:val="009132B6"/>
    <w:rsid w:val="0091353D"/>
    <w:rsid w:val="00914D50"/>
    <w:rsid w:val="009152DA"/>
    <w:rsid w:val="0091533A"/>
    <w:rsid w:val="00920135"/>
    <w:rsid w:val="00921499"/>
    <w:rsid w:val="009215EF"/>
    <w:rsid w:val="00926832"/>
    <w:rsid w:val="009271A1"/>
    <w:rsid w:val="009306F2"/>
    <w:rsid w:val="009311BE"/>
    <w:rsid w:val="00931C24"/>
    <w:rsid w:val="009326FC"/>
    <w:rsid w:val="00936464"/>
    <w:rsid w:val="00936DB0"/>
    <w:rsid w:val="009421FF"/>
    <w:rsid w:val="009448AA"/>
    <w:rsid w:val="00945FC1"/>
    <w:rsid w:val="00951856"/>
    <w:rsid w:val="00954720"/>
    <w:rsid w:val="0095539C"/>
    <w:rsid w:val="009555B2"/>
    <w:rsid w:val="00957A1C"/>
    <w:rsid w:val="0095AD1A"/>
    <w:rsid w:val="009710B6"/>
    <w:rsid w:val="00973A55"/>
    <w:rsid w:val="00982FD9"/>
    <w:rsid w:val="009830CD"/>
    <w:rsid w:val="00984ACC"/>
    <w:rsid w:val="00990A21"/>
    <w:rsid w:val="00991C01"/>
    <w:rsid w:val="009923C1"/>
    <w:rsid w:val="00992B30"/>
    <w:rsid w:val="00993832"/>
    <w:rsid w:val="0099435D"/>
    <w:rsid w:val="009A0DEC"/>
    <w:rsid w:val="009A2172"/>
    <w:rsid w:val="009A2D4A"/>
    <w:rsid w:val="009A53EA"/>
    <w:rsid w:val="009A5510"/>
    <w:rsid w:val="009A745B"/>
    <w:rsid w:val="009B0D59"/>
    <w:rsid w:val="009B2B5F"/>
    <w:rsid w:val="009B2CEB"/>
    <w:rsid w:val="009B3270"/>
    <w:rsid w:val="009B3EFF"/>
    <w:rsid w:val="009B49CD"/>
    <w:rsid w:val="009B6501"/>
    <w:rsid w:val="009C48ED"/>
    <w:rsid w:val="009C4956"/>
    <w:rsid w:val="009C54C8"/>
    <w:rsid w:val="009C57DC"/>
    <w:rsid w:val="009C70D2"/>
    <w:rsid w:val="009D1792"/>
    <w:rsid w:val="009D18E2"/>
    <w:rsid w:val="009D1987"/>
    <w:rsid w:val="009D336E"/>
    <w:rsid w:val="009D36CB"/>
    <w:rsid w:val="009D4D91"/>
    <w:rsid w:val="009D5152"/>
    <w:rsid w:val="009D55C9"/>
    <w:rsid w:val="009D7029"/>
    <w:rsid w:val="009E1C75"/>
    <w:rsid w:val="009E22BF"/>
    <w:rsid w:val="009E3BE5"/>
    <w:rsid w:val="009E5AB1"/>
    <w:rsid w:val="009E5E44"/>
    <w:rsid w:val="009E64D2"/>
    <w:rsid w:val="009E75E6"/>
    <w:rsid w:val="009F6F6B"/>
    <w:rsid w:val="009F787F"/>
    <w:rsid w:val="00A00078"/>
    <w:rsid w:val="00A00209"/>
    <w:rsid w:val="00A00D16"/>
    <w:rsid w:val="00A011A7"/>
    <w:rsid w:val="00A01356"/>
    <w:rsid w:val="00A056C8"/>
    <w:rsid w:val="00A05AB4"/>
    <w:rsid w:val="00A0718E"/>
    <w:rsid w:val="00A07559"/>
    <w:rsid w:val="00A1571C"/>
    <w:rsid w:val="00A16B62"/>
    <w:rsid w:val="00A229CF"/>
    <w:rsid w:val="00A258A7"/>
    <w:rsid w:val="00A30263"/>
    <w:rsid w:val="00A331AF"/>
    <w:rsid w:val="00A34D73"/>
    <w:rsid w:val="00A35DDA"/>
    <w:rsid w:val="00A41118"/>
    <w:rsid w:val="00A44E5F"/>
    <w:rsid w:val="00A45E99"/>
    <w:rsid w:val="00A5610C"/>
    <w:rsid w:val="00A57EEC"/>
    <w:rsid w:val="00A647B1"/>
    <w:rsid w:val="00A66D3E"/>
    <w:rsid w:val="00A7271D"/>
    <w:rsid w:val="00A77649"/>
    <w:rsid w:val="00A7784D"/>
    <w:rsid w:val="00A80331"/>
    <w:rsid w:val="00A80893"/>
    <w:rsid w:val="00A80BC8"/>
    <w:rsid w:val="00A8173A"/>
    <w:rsid w:val="00A853E6"/>
    <w:rsid w:val="00A85E73"/>
    <w:rsid w:val="00A863B2"/>
    <w:rsid w:val="00A87E40"/>
    <w:rsid w:val="00A9068C"/>
    <w:rsid w:val="00A93C0D"/>
    <w:rsid w:val="00A94088"/>
    <w:rsid w:val="00A96B2A"/>
    <w:rsid w:val="00AA49F1"/>
    <w:rsid w:val="00AA66B3"/>
    <w:rsid w:val="00AA6E94"/>
    <w:rsid w:val="00AA7A7E"/>
    <w:rsid w:val="00AB081B"/>
    <w:rsid w:val="00AB5AEF"/>
    <w:rsid w:val="00AC1997"/>
    <w:rsid w:val="00AC7E88"/>
    <w:rsid w:val="00AD095A"/>
    <w:rsid w:val="00AD15F8"/>
    <w:rsid w:val="00AD332A"/>
    <w:rsid w:val="00AD6924"/>
    <w:rsid w:val="00AE10A6"/>
    <w:rsid w:val="00AE1397"/>
    <w:rsid w:val="00AE1AB2"/>
    <w:rsid w:val="00AE1E73"/>
    <w:rsid w:val="00AE2CCD"/>
    <w:rsid w:val="00AE5F89"/>
    <w:rsid w:val="00AF031C"/>
    <w:rsid w:val="00AF1669"/>
    <w:rsid w:val="00AF1D41"/>
    <w:rsid w:val="00AF3C32"/>
    <w:rsid w:val="00B01435"/>
    <w:rsid w:val="00B03902"/>
    <w:rsid w:val="00B0642B"/>
    <w:rsid w:val="00B077DE"/>
    <w:rsid w:val="00B100D8"/>
    <w:rsid w:val="00B1107F"/>
    <w:rsid w:val="00B11260"/>
    <w:rsid w:val="00B11277"/>
    <w:rsid w:val="00B11A91"/>
    <w:rsid w:val="00B12667"/>
    <w:rsid w:val="00B137CE"/>
    <w:rsid w:val="00B1553F"/>
    <w:rsid w:val="00B159A3"/>
    <w:rsid w:val="00B206F1"/>
    <w:rsid w:val="00B21FFB"/>
    <w:rsid w:val="00B24248"/>
    <w:rsid w:val="00B27A57"/>
    <w:rsid w:val="00B30C39"/>
    <w:rsid w:val="00B324B4"/>
    <w:rsid w:val="00B3271A"/>
    <w:rsid w:val="00B4076D"/>
    <w:rsid w:val="00B41EB6"/>
    <w:rsid w:val="00B4564C"/>
    <w:rsid w:val="00B45E7E"/>
    <w:rsid w:val="00B46168"/>
    <w:rsid w:val="00B462E4"/>
    <w:rsid w:val="00B46D35"/>
    <w:rsid w:val="00B53886"/>
    <w:rsid w:val="00B539BF"/>
    <w:rsid w:val="00B62FD4"/>
    <w:rsid w:val="00B64E33"/>
    <w:rsid w:val="00B70BB9"/>
    <w:rsid w:val="00B70DE9"/>
    <w:rsid w:val="00B71F01"/>
    <w:rsid w:val="00B80F75"/>
    <w:rsid w:val="00B812B8"/>
    <w:rsid w:val="00B827F0"/>
    <w:rsid w:val="00B87D69"/>
    <w:rsid w:val="00B87EFB"/>
    <w:rsid w:val="00B87F7B"/>
    <w:rsid w:val="00B92728"/>
    <w:rsid w:val="00B95E25"/>
    <w:rsid w:val="00B974BE"/>
    <w:rsid w:val="00B97528"/>
    <w:rsid w:val="00BA0E53"/>
    <w:rsid w:val="00BA2632"/>
    <w:rsid w:val="00BA3D70"/>
    <w:rsid w:val="00BB0708"/>
    <w:rsid w:val="00BB1549"/>
    <w:rsid w:val="00BB376F"/>
    <w:rsid w:val="00BB4686"/>
    <w:rsid w:val="00BB5620"/>
    <w:rsid w:val="00BB69D1"/>
    <w:rsid w:val="00BB7825"/>
    <w:rsid w:val="00BC1057"/>
    <w:rsid w:val="00BC62C3"/>
    <w:rsid w:val="00BC7D4A"/>
    <w:rsid w:val="00BD025A"/>
    <w:rsid w:val="00BD08E0"/>
    <w:rsid w:val="00BD1242"/>
    <w:rsid w:val="00BD17E4"/>
    <w:rsid w:val="00BD1EE2"/>
    <w:rsid w:val="00BD47F5"/>
    <w:rsid w:val="00BE0171"/>
    <w:rsid w:val="00BE0D74"/>
    <w:rsid w:val="00BE1CC6"/>
    <w:rsid w:val="00BE4A03"/>
    <w:rsid w:val="00BE7A05"/>
    <w:rsid w:val="00BF0430"/>
    <w:rsid w:val="00BF21A2"/>
    <w:rsid w:val="00BF305E"/>
    <w:rsid w:val="00BF77F1"/>
    <w:rsid w:val="00C01B63"/>
    <w:rsid w:val="00C0379B"/>
    <w:rsid w:val="00C05585"/>
    <w:rsid w:val="00C06B58"/>
    <w:rsid w:val="00C1187B"/>
    <w:rsid w:val="00C13A61"/>
    <w:rsid w:val="00C14DBB"/>
    <w:rsid w:val="00C17748"/>
    <w:rsid w:val="00C1785B"/>
    <w:rsid w:val="00C20A5F"/>
    <w:rsid w:val="00C24368"/>
    <w:rsid w:val="00C25B85"/>
    <w:rsid w:val="00C31B40"/>
    <w:rsid w:val="00C33983"/>
    <w:rsid w:val="00C356FE"/>
    <w:rsid w:val="00C3698B"/>
    <w:rsid w:val="00C40041"/>
    <w:rsid w:val="00C42071"/>
    <w:rsid w:val="00C439A3"/>
    <w:rsid w:val="00C50B84"/>
    <w:rsid w:val="00C52B8C"/>
    <w:rsid w:val="00C535BA"/>
    <w:rsid w:val="00C5535A"/>
    <w:rsid w:val="00C553CD"/>
    <w:rsid w:val="00C55745"/>
    <w:rsid w:val="00C55775"/>
    <w:rsid w:val="00C56F3C"/>
    <w:rsid w:val="00C62D83"/>
    <w:rsid w:val="00C630D5"/>
    <w:rsid w:val="00C634EE"/>
    <w:rsid w:val="00C6358B"/>
    <w:rsid w:val="00C66820"/>
    <w:rsid w:val="00C66853"/>
    <w:rsid w:val="00C67C91"/>
    <w:rsid w:val="00C7365C"/>
    <w:rsid w:val="00C7726E"/>
    <w:rsid w:val="00C804A5"/>
    <w:rsid w:val="00C813A3"/>
    <w:rsid w:val="00C833D3"/>
    <w:rsid w:val="00C8350E"/>
    <w:rsid w:val="00C85C70"/>
    <w:rsid w:val="00C92183"/>
    <w:rsid w:val="00C952B3"/>
    <w:rsid w:val="00C96984"/>
    <w:rsid w:val="00C97221"/>
    <w:rsid w:val="00CA1155"/>
    <w:rsid w:val="00CA15A3"/>
    <w:rsid w:val="00CA400E"/>
    <w:rsid w:val="00CA498B"/>
    <w:rsid w:val="00CA4E3E"/>
    <w:rsid w:val="00CA7F4A"/>
    <w:rsid w:val="00CB0151"/>
    <w:rsid w:val="00CB082C"/>
    <w:rsid w:val="00CB08B8"/>
    <w:rsid w:val="00CB0DCE"/>
    <w:rsid w:val="00CB3167"/>
    <w:rsid w:val="00CB3D1E"/>
    <w:rsid w:val="00CB44F9"/>
    <w:rsid w:val="00CB4903"/>
    <w:rsid w:val="00CB6D00"/>
    <w:rsid w:val="00CC1A76"/>
    <w:rsid w:val="00CC1B9A"/>
    <w:rsid w:val="00CC2AAB"/>
    <w:rsid w:val="00CC2F73"/>
    <w:rsid w:val="00CC6B67"/>
    <w:rsid w:val="00CC6D91"/>
    <w:rsid w:val="00CC787B"/>
    <w:rsid w:val="00CC8E77"/>
    <w:rsid w:val="00CD0782"/>
    <w:rsid w:val="00CD14C7"/>
    <w:rsid w:val="00CD1EA3"/>
    <w:rsid w:val="00CD4363"/>
    <w:rsid w:val="00CE2512"/>
    <w:rsid w:val="00CE2A05"/>
    <w:rsid w:val="00CE6706"/>
    <w:rsid w:val="00CF1EEC"/>
    <w:rsid w:val="00CF37CF"/>
    <w:rsid w:val="00CF47CA"/>
    <w:rsid w:val="00CF4BB9"/>
    <w:rsid w:val="00CF4CE3"/>
    <w:rsid w:val="00CF5BD9"/>
    <w:rsid w:val="00CF5CC1"/>
    <w:rsid w:val="00CF603E"/>
    <w:rsid w:val="00CF6289"/>
    <w:rsid w:val="00CF71CC"/>
    <w:rsid w:val="00CF73EF"/>
    <w:rsid w:val="00CF779C"/>
    <w:rsid w:val="00D003BA"/>
    <w:rsid w:val="00D02861"/>
    <w:rsid w:val="00D02AF3"/>
    <w:rsid w:val="00D04D02"/>
    <w:rsid w:val="00D05090"/>
    <w:rsid w:val="00D0604A"/>
    <w:rsid w:val="00D06B7E"/>
    <w:rsid w:val="00D07904"/>
    <w:rsid w:val="00D10B39"/>
    <w:rsid w:val="00D134A2"/>
    <w:rsid w:val="00D15400"/>
    <w:rsid w:val="00D16463"/>
    <w:rsid w:val="00D16551"/>
    <w:rsid w:val="00D2078F"/>
    <w:rsid w:val="00D231B0"/>
    <w:rsid w:val="00D24243"/>
    <w:rsid w:val="00D27C31"/>
    <w:rsid w:val="00D31F10"/>
    <w:rsid w:val="00D3248F"/>
    <w:rsid w:val="00D35554"/>
    <w:rsid w:val="00D3633A"/>
    <w:rsid w:val="00D3756A"/>
    <w:rsid w:val="00D42C8F"/>
    <w:rsid w:val="00D44013"/>
    <w:rsid w:val="00D44B82"/>
    <w:rsid w:val="00D45A3F"/>
    <w:rsid w:val="00D51968"/>
    <w:rsid w:val="00D5388D"/>
    <w:rsid w:val="00D54D9E"/>
    <w:rsid w:val="00D55407"/>
    <w:rsid w:val="00D55DC3"/>
    <w:rsid w:val="00D55E7F"/>
    <w:rsid w:val="00D55E85"/>
    <w:rsid w:val="00D56A90"/>
    <w:rsid w:val="00D62095"/>
    <w:rsid w:val="00D62B43"/>
    <w:rsid w:val="00D67588"/>
    <w:rsid w:val="00D71C59"/>
    <w:rsid w:val="00D76424"/>
    <w:rsid w:val="00D76CD3"/>
    <w:rsid w:val="00D76F9A"/>
    <w:rsid w:val="00D775F8"/>
    <w:rsid w:val="00D80C3F"/>
    <w:rsid w:val="00D83B30"/>
    <w:rsid w:val="00D84B42"/>
    <w:rsid w:val="00D85921"/>
    <w:rsid w:val="00D87CDA"/>
    <w:rsid w:val="00D90780"/>
    <w:rsid w:val="00D91AC3"/>
    <w:rsid w:val="00D9344C"/>
    <w:rsid w:val="00D937C3"/>
    <w:rsid w:val="00D93F54"/>
    <w:rsid w:val="00D94B4F"/>
    <w:rsid w:val="00D97D1C"/>
    <w:rsid w:val="00DA0B96"/>
    <w:rsid w:val="00DA143A"/>
    <w:rsid w:val="00DA50A2"/>
    <w:rsid w:val="00DA57D6"/>
    <w:rsid w:val="00DB0BA7"/>
    <w:rsid w:val="00DB2448"/>
    <w:rsid w:val="00DB2FD5"/>
    <w:rsid w:val="00DC15C9"/>
    <w:rsid w:val="00DC1762"/>
    <w:rsid w:val="00DC2E3F"/>
    <w:rsid w:val="00DC2EF6"/>
    <w:rsid w:val="00DC4480"/>
    <w:rsid w:val="00DC569D"/>
    <w:rsid w:val="00DC5F90"/>
    <w:rsid w:val="00DC6603"/>
    <w:rsid w:val="00DC7736"/>
    <w:rsid w:val="00DD21EA"/>
    <w:rsid w:val="00DD26AF"/>
    <w:rsid w:val="00DD4909"/>
    <w:rsid w:val="00DD4E1C"/>
    <w:rsid w:val="00DD4EDC"/>
    <w:rsid w:val="00DE0B7D"/>
    <w:rsid w:val="00DE0D41"/>
    <w:rsid w:val="00DE4A11"/>
    <w:rsid w:val="00DE5A30"/>
    <w:rsid w:val="00DE79A8"/>
    <w:rsid w:val="00DF1860"/>
    <w:rsid w:val="00DF2C9E"/>
    <w:rsid w:val="00DF435B"/>
    <w:rsid w:val="00DF505B"/>
    <w:rsid w:val="00DF570B"/>
    <w:rsid w:val="00E01BB1"/>
    <w:rsid w:val="00E0201D"/>
    <w:rsid w:val="00E031F8"/>
    <w:rsid w:val="00E03A2C"/>
    <w:rsid w:val="00E04721"/>
    <w:rsid w:val="00E05D8F"/>
    <w:rsid w:val="00E1076C"/>
    <w:rsid w:val="00E135BD"/>
    <w:rsid w:val="00E13D62"/>
    <w:rsid w:val="00E1444B"/>
    <w:rsid w:val="00E22D3A"/>
    <w:rsid w:val="00E25FD5"/>
    <w:rsid w:val="00E275B1"/>
    <w:rsid w:val="00E316A9"/>
    <w:rsid w:val="00E3239C"/>
    <w:rsid w:val="00E37805"/>
    <w:rsid w:val="00E37EDB"/>
    <w:rsid w:val="00E4157E"/>
    <w:rsid w:val="00E43317"/>
    <w:rsid w:val="00E434CD"/>
    <w:rsid w:val="00E4381E"/>
    <w:rsid w:val="00E43E42"/>
    <w:rsid w:val="00E44E54"/>
    <w:rsid w:val="00E46B84"/>
    <w:rsid w:val="00E47205"/>
    <w:rsid w:val="00E5082B"/>
    <w:rsid w:val="00E50F05"/>
    <w:rsid w:val="00E51E02"/>
    <w:rsid w:val="00E52328"/>
    <w:rsid w:val="00E53716"/>
    <w:rsid w:val="00E64161"/>
    <w:rsid w:val="00E648D0"/>
    <w:rsid w:val="00E64FD6"/>
    <w:rsid w:val="00E673CF"/>
    <w:rsid w:val="00E7067B"/>
    <w:rsid w:val="00E73392"/>
    <w:rsid w:val="00E7506A"/>
    <w:rsid w:val="00E82153"/>
    <w:rsid w:val="00E826D1"/>
    <w:rsid w:val="00E8618F"/>
    <w:rsid w:val="00E91BED"/>
    <w:rsid w:val="00E933C8"/>
    <w:rsid w:val="00E971CA"/>
    <w:rsid w:val="00E9759A"/>
    <w:rsid w:val="00EA0C29"/>
    <w:rsid w:val="00EA3688"/>
    <w:rsid w:val="00EB3FE6"/>
    <w:rsid w:val="00EB7E02"/>
    <w:rsid w:val="00EC0C5A"/>
    <w:rsid w:val="00EC393D"/>
    <w:rsid w:val="00EC4E27"/>
    <w:rsid w:val="00EC57AA"/>
    <w:rsid w:val="00EC5992"/>
    <w:rsid w:val="00EC6104"/>
    <w:rsid w:val="00EC6465"/>
    <w:rsid w:val="00EC7EC8"/>
    <w:rsid w:val="00ED1342"/>
    <w:rsid w:val="00ED3C33"/>
    <w:rsid w:val="00ED469E"/>
    <w:rsid w:val="00ED4B1C"/>
    <w:rsid w:val="00ED58F4"/>
    <w:rsid w:val="00ED61F6"/>
    <w:rsid w:val="00ED6E95"/>
    <w:rsid w:val="00ED745F"/>
    <w:rsid w:val="00EE22CE"/>
    <w:rsid w:val="00EE4AAF"/>
    <w:rsid w:val="00EF588E"/>
    <w:rsid w:val="00F0015D"/>
    <w:rsid w:val="00F0285F"/>
    <w:rsid w:val="00F04F56"/>
    <w:rsid w:val="00F10738"/>
    <w:rsid w:val="00F109DE"/>
    <w:rsid w:val="00F113AF"/>
    <w:rsid w:val="00F128EC"/>
    <w:rsid w:val="00F14AB6"/>
    <w:rsid w:val="00F17325"/>
    <w:rsid w:val="00F17743"/>
    <w:rsid w:val="00F17E53"/>
    <w:rsid w:val="00F17F77"/>
    <w:rsid w:val="00F21DAB"/>
    <w:rsid w:val="00F23E3C"/>
    <w:rsid w:val="00F25269"/>
    <w:rsid w:val="00F25AAE"/>
    <w:rsid w:val="00F26FBB"/>
    <w:rsid w:val="00F2734C"/>
    <w:rsid w:val="00F275A0"/>
    <w:rsid w:val="00F2799D"/>
    <w:rsid w:val="00F30DAC"/>
    <w:rsid w:val="00F32E81"/>
    <w:rsid w:val="00F334B3"/>
    <w:rsid w:val="00F43595"/>
    <w:rsid w:val="00F436B2"/>
    <w:rsid w:val="00F44DAB"/>
    <w:rsid w:val="00F47695"/>
    <w:rsid w:val="00F50860"/>
    <w:rsid w:val="00F50AFF"/>
    <w:rsid w:val="00F50F90"/>
    <w:rsid w:val="00F5150E"/>
    <w:rsid w:val="00F57903"/>
    <w:rsid w:val="00F606A9"/>
    <w:rsid w:val="00F62348"/>
    <w:rsid w:val="00F629AA"/>
    <w:rsid w:val="00F62B6F"/>
    <w:rsid w:val="00F65EF8"/>
    <w:rsid w:val="00F662E1"/>
    <w:rsid w:val="00F70E12"/>
    <w:rsid w:val="00F712CE"/>
    <w:rsid w:val="00F72D5F"/>
    <w:rsid w:val="00F74737"/>
    <w:rsid w:val="00F74936"/>
    <w:rsid w:val="00F74C22"/>
    <w:rsid w:val="00F7617D"/>
    <w:rsid w:val="00F80BA0"/>
    <w:rsid w:val="00F816E8"/>
    <w:rsid w:val="00F83359"/>
    <w:rsid w:val="00F85804"/>
    <w:rsid w:val="00F85903"/>
    <w:rsid w:val="00F9048D"/>
    <w:rsid w:val="00F90D2E"/>
    <w:rsid w:val="00F91301"/>
    <w:rsid w:val="00F94973"/>
    <w:rsid w:val="00FA000F"/>
    <w:rsid w:val="00FA1BD6"/>
    <w:rsid w:val="00FA438C"/>
    <w:rsid w:val="00FA6643"/>
    <w:rsid w:val="00FA7865"/>
    <w:rsid w:val="00FB02D4"/>
    <w:rsid w:val="00FB1418"/>
    <w:rsid w:val="00FB3E48"/>
    <w:rsid w:val="00FB4EA1"/>
    <w:rsid w:val="00FB611A"/>
    <w:rsid w:val="00FB6A2F"/>
    <w:rsid w:val="00FB6DAB"/>
    <w:rsid w:val="00FB7E31"/>
    <w:rsid w:val="00FC41C8"/>
    <w:rsid w:val="00FC5ABA"/>
    <w:rsid w:val="00FC5BD2"/>
    <w:rsid w:val="00FD2127"/>
    <w:rsid w:val="00FD245C"/>
    <w:rsid w:val="00FD3D4C"/>
    <w:rsid w:val="00FD4474"/>
    <w:rsid w:val="00FD464E"/>
    <w:rsid w:val="00FD7723"/>
    <w:rsid w:val="00FE014A"/>
    <w:rsid w:val="00FE1BCA"/>
    <w:rsid w:val="00FE1E33"/>
    <w:rsid w:val="00FE27AF"/>
    <w:rsid w:val="00FE2B4D"/>
    <w:rsid w:val="00FE4E40"/>
    <w:rsid w:val="00FF0B7C"/>
    <w:rsid w:val="00FF0BBF"/>
    <w:rsid w:val="00FF3A67"/>
    <w:rsid w:val="00FF51C4"/>
    <w:rsid w:val="00FF710E"/>
    <w:rsid w:val="00FF78EF"/>
    <w:rsid w:val="010C1EE7"/>
    <w:rsid w:val="011A47C0"/>
    <w:rsid w:val="01D394EF"/>
    <w:rsid w:val="01D8A976"/>
    <w:rsid w:val="01F7F454"/>
    <w:rsid w:val="01FEB9A8"/>
    <w:rsid w:val="020A4C50"/>
    <w:rsid w:val="0211F78C"/>
    <w:rsid w:val="023D51E3"/>
    <w:rsid w:val="027016A1"/>
    <w:rsid w:val="028E7D12"/>
    <w:rsid w:val="02A001C2"/>
    <w:rsid w:val="02FFAC84"/>
    <w:rsid w:val="0334941A"/>
    <w:rsid w:val="038F7B4B"/>
    <w:rsid w:val="039BD203"/>
    <w:rsid w:val="03BA5140"/>
    <w:rsid w:val="03CCC850"/>
    <w:rsid w:val="03D324A1"/>
    <w:rsid w:val="03DB7298"/>
    <w:rsid w:val="03DBDB75"/>
    <w:rsid w:val="0409E72D"/>
    <w:rsid w:val="040BE702"/>
    <w:rsid w:val="04118CC5"/>
    <w:rsid w:val="04171D52"/>
    <w:rsid w:val="0451E882"/>
    <w:rsid w:val="0481112C"/>
    <w:rsid w:val="04A8431B"/>
    <w:rsid w:val="04CF45F0"/>
    <w:rsid w:val="0537A264"/>
    <w:rsid w:val="053AB8BD"/>
    <w:rsid w:val="054B85BE"/>
    <w:rsid w:val="05691E3D"/>
    <w:rsid w:val="057CD29F"/>
    <w:rsid w:val="057FAB51"/>
    <w:rsid w:val="05ACAC07"/>
    <w:rsid w:val="05DF900A"/>
    <w:rsid w:val="06144864"/>
    <w:rsid w:val="06204055"/>
    <w:rsid w:val="06774CCB"/>
    <w:rsid w:val="06A1D689"/>
    <w:rsid w:val="070AC563"/>
    <w:rsid w:val="0743DDA1"/>
    <w:rsid w:val="0766BA0D"/>
    <w:rsid w:val="079F4E11"/>
    <w:rsid w:val="07C0355E"/>
    <w:rsid w:val="07DF44C2"/>
    <w:rsid w:val="07FAA4FA"/>
    <w:rsid w:val="08A9542D"/>
    <w:rsid w:val="090FA91C"/>
    <w:rsid w:val="09152680"/>
    <w:rsid w:val="092EBDA3"/>
    <w:rsid w:val="0935D1A9"/>
    <w:rsid w:val="093F44DA"/>
    <w:rsid w:val="097B1523"/>
    <w:rsid w:val="09DEFCF4"/>
    <w:rsid w:val="09E7C4DB"/>
    <w:rsid w:val="09F20893"/>
    <w:rsid w:val="0A173172"/>
    <w:rsid w:val="0A2DB16E"/>
    <w:rsid w:val="0A373510"/>
    <w:rsid w:val="0A57DDF7"/>
    <w:rsid w:val="0A59E982"/>
    <w:rsid w:val="0A837D46"/>
    <w:rsid w:val="0AA72D84"/>
    <w:rsid w:val="0B4CAB94"/>
    <w:rsid w:val="0B879568"/>
    <w:rsid w:val="0B8E113F"/>
    <w:rsid w:val="0BC981CF"/>
    <w:rsid w:val="0BD85FC1"/>
    <w:rsid w:val="0BF71426"/>
    <w:rsid w:val="0BFDD08A"/>
    <w:rsid w:val="0C8F60D7"/>
    <w:rsid w:val="0CC502C9"/>
    <w:rsid w:val="0CE68E4F"/>
    <w:rsid w:val="0D111A14"/>
    <w:rsid w:val="0D3AA6FB"/>
    <w:rsid w:val="0D655230"/>
    <w:rsid w:val="0D74F970"/>
    <w:rsid w:val="0D8608A3"/>
    <w:rsid w:val="0DC0F033"/>
    <w:rsid w:val="0DE691D4"/>
    <w:rsid w:val="0E2B3138"/>
    <w:rsid w:val="0E2FE07F"/>
    <w:rsid w:val="0E6DC9DA"/>
    <w:rsid w:val="0E825EB0"/>
    <w:rsid w:val="0EA9B462"/>
    <w:rsid w:val="0EC1D142"/>
    <w:rsid w:val="0EC723B0"/>
    <w:rsid w:val="0ED47856"/>
    <w:rsid w:val="0EF7CA82"/>
    <w:rsid w:val="0F6B3FA7"/>
    <w:rsid w:val="0F80A541"/>
    <w:rsid w:val="0F979B9F"/>
    <w:rsid w:val="0FF83A2D"/>
    <w:rsid w:val="1015AA64"/>
    <w:rsid w:val="10561222"/>
    <w:rsid w:val="107BFFC9"/>
    <w:rsid w:val="109CF2F2"/>
    <w:rsid w:val="10F8AD55"/>
    <w:rsid w:val="10F9018D"/>
    <w:rsid w:val="1132131A"/>
    <w:rsid w:val="116DC8A0"/>
    <w:rsid w:val="1178A4E9"/>
    <w:rsid w:val="11856750"/>
    <w:rsid w:val="118D77A8"/>
    <w:rsid w:val="11B9FF72"/>
    <w:rsid w:val="11C042FD"/>
    <w:rsid w:val="11EC4F18"/>
    <w:rsid w:val="11F4EFC1"/>
    <w:rsid w:val="1226E718"/>
    <w:rsid w:val="12380B18"/>
    <w:rsid w:val="12947DB6"/>
    <w:rsid w:val="12988457"/>
    <w:rsid w:val="129F6BE4"/>
    <w:rsid w:val="12CA9837"/>
    <w:rsid w:val="12CE2991"/>
    <w:rsid w:val="12D2F2C6"/>
    <w:rsid w:val="12D42971"/>
    <w:rsid w:val="12D81592"/>
    <w:rsid w:val="12F68D2A"/>
    <w:rsid w:val="12FAA6C7"/>
    <w:rsid w:val="13099901"/>
    <w:rsid w:val="131A8E0A"/>
    <w:rsid w:val="13347752"/>
    <w:rsid w:val="1376B583"/>
    <w:rsid w:val="138BE4DD"/>
    <w:rsid w:val="13B4A6B3"/>
    <w:rsid w:val="13D2C95C"/>
    <w:rsid w:val="142A27DE"/>
    <w:rsid w:val="1435AB38"/>
    <w:rsid w:val="143DF22D"/>
    <w:rsid w:val="145E41BF"/>
    <w:rsid w:val="1469F9F2"/>
    <w:rsid w:val="148A9B80"/>
    <w:rsid w:val="14AFAA5F"/>
    <w:rsid w:val="14F78A56"/>
    <w:rsid w:val="14FDF596"/>
    <w:rsid w:val="152C9083"/>
    <w:rsid w:val="1540DD9B"/>
    <w:rsid w:val="15507714"/>
    <w:rsid w:val="15624A41"/>
    <w:rsid w:val="1581CA60"/>
    <w:rsid w:val="1595BD26"/>
    <w:rsid w:val="15ACA119"/>
    <w:rsid w:val="161DB282"/>
    <w:rsid w:val="16261B2F"/>
    <w:rsid w:val="164139C3"/>
    <w:rsid w:val="1646BCAF"/>
    <w:rsid w:val="168D7095"/>
    <w:rsid w:val="16935AB7"/>
    <w:rsid w:val="16D8E898"/>
    <w:rsid w:val="1700AEDC"/>
    <w:rsid w:val="170E8C1C"/>
    <w:rsid w:val="1711004E"/>
    <w:rsid w:val="171C9DF2"/>
    <w:rsid w:val="1722EEDC"/>
    <w:rsid w:val="1753B53C"/>
    <w:rsid w:val="17541BE8"/>
    <w:rsid w:val="17925E58"/>
    <w:rsid w:val="17A19AB4"/>
    <w:rsid w:val="17AE7563"/>
    <w:rsid w:val="17C3847D"/>
    <w:rsid w:val="17C9FE4D"/>
    <w:rsid w:val="17D38192"/>
    <w:rsid w:val="17DD0A24"/>
    <w:rsid w:val="182940F6"/>
    <w:rsid w:val="18344624"/>
    <w:rsid w:val="185930DF"/>
    <w:rsid w:val="185B909C"/>
    <w:rsid w:val="18C7403D"/>
    <w:rsid w:val="18C79D27"/>
    <w:rsid w:val="18CA1C1B"/>
    <w:rsid w:val="18FFE235"/>
    <w:rsid w:val="19219D80"/>
    <w:rsid w:val="192E2EB9"/>
    <w:rsid w:val="195DBBF1"/>
    <w:rsid w:val="1966C4F1"/>
    <w:rsid w:val="1978DA85"/>
    <w:rsid w:val="19811687"/>
    <w:rsid w:val="19B486AB"/>
    <w:rsid w:val="19BD2A47"/>
    <w:rsid w:val="19C76929"/>
    <w:rsid w:val="19E56406"/>
    <w:rsid w:val="19F3A2AD"/>
    <w:rsid w:val="1A07A553"/>
    <w:rsid w:val="1A15CD8E"/>
    <w:rsid w:val="1A1A0426"/>
    <w:rsid w:val="1A1D48A0"/>
    <w:rsid w:val="1A46DBE6"/>
    <w:rsid w:val="1AAA43A9"/>
    <w:rsid w:val="1AC9FF1A"/>
    <w:rsid w:val="1AD93B76"/>
    <w:rsid w:val="1ADC8367"/>
    <w:rsid w:val="1AEEE954"/>
    <w:rsid w:val="1AF131E4"/>
    <w:rsid w:val="1B12C58D"/>
    <w:rsid w:val="1B36DFF0"/>
    <w:rsid w:val="1BA5A6B8"/>
    <w:rsid w:val="1BB58054"/>
    <w:rsid w:val="1BBEEC90"/>
    <w:rsid w:val="1C2D80A8"/>
    <w:rsid w:val="1C65CF7B"/>
    <w:rsid w:val="1CEDF6F6"/>
    <w:rsid w:val="1CFCB219"/>
    <w:rsid w:val="1D05531E"/>
    <w:rsid w:val="1D217E6E"/>
    <w:rsid w:val="1D26F81B"/>
    <w:rsid w:val="1D29E82B"/>
    <w:rsid w:val="1D2B59B1"/>
    <w:rsid w:val="1D417719"/>
    <w:rsid w:val="1D571D57"/>
    <w:rsid w:val="1D57B05F"/>
    <w:rsid w:val="1D72C9BE"/>
    <w:rsid w:val="1DBC8277"/>
    <w:rsid w:val="1DCBAC16"/>
    <w:rsid w:val="1E322AAF"/>
    <w:rsid w:val="1E406E5F"/>
    <w:rsid w:val="1E483633"/>
    <w:rsid w:val="1E494288"/>
    <w:rsid w:val="1E4C4BA8"/>
    <w:rsid w:val="1E4F5E13"/>
    <w:rsid w:val="1E98827A"/>
    <w:rsid w:val="1EC1EE19"/>
    <w:rsid w:val="1EDD477A"/>
    <w:rsid w:val="1F11FEB6"/>
    <w:rsid w:val="1F1BEF98"/>
    <w:rsid w:val="1FACAC99"/>
    <w:rsid w:val="1FBC0BF4"/>
    <w:rsid w:val="1FE93062"/>
    <w:rsid w:val="203452DB"/>
    <w:rsid w:val="203703A8"/>
    <w:rsid w:val="20697881"/>
    <w:rsid w:val="208945AA"/>
    <w:rsid w:val="211C7535"/>
    <w:rsid w:val="21487CFA"/>
    <w:rsid w:val="215FDA1C"/>
    <w:rsid w:val="2171624C"/>
    <w:rsid w:val="2183EC6A"/>
    <w:rsid w:val="218BD9F0"/>
    <w:rsid w:val="21D0233C"/>
    <w:rsid w:val="21F65790"/>
    <w:rsid w:val="225B17D1"/>
    <w:rsid w:val="227DC53C"/>
    <w:rsid w:val="228BCCF7"/>
    <w:rsid w:val="229F1D39"/>
    <w:rsid w:val="22ADA6BC"/>
    <w:rsid w:val="22B28F06"/>
    <w:rsid w:val="22C209EF"/>
    <w:rsid w:val="22DE9452"/>
    <w:rsid w:val="22EC3AE1"/>
    <w:rsid w:val="22F635D5"/>
    <w:rsid w:val="22F9FB39"/>
    <w:rsid w:val="2305A32C"/>
    <w:rsid w:val="23073737"/>
    <w:rsid w:val="2322CF36"/>
    <w:rsid w:val="2333500E"/>
    <w:rsid w:val="23385FA5"/>
    <w:rsid w:val="2339EA9A"/>
    <w:rsid w:val="233B6DAB"/>
    <w:rsid w:val="233C12B4"/>
    <w:rsid w:val="235A81BF"/>
    <w:rsid w:val="237C2876"/>
    <w:rsid w:val="239BE4F9"/>
    <w:rsid w:val="239E4343"/>
    <w:rsid w:val="23B23CEB"/>
    <w:rsid w:val="24197693"/>
    <w:rsid w:val="24634E65"/>
    <w:rsid w:val="246EF132"/>
    <w:rsid w:val="248B5333"/>
    <w:rsid w:val="249D90F1"/>
    <w:rsid w:val="24BB8D2C"/>
    <w:rsid w:val="24C37AB2"/>
    <w:rsid w:val="24F7CC60"/>
    <w:rsid w:val="2538C827"/>
    <w:rsid w:val="25579396"/>
    <w:rsid w:val="255BCB22"/>
    <w:rsid w:val="2579E08F"/>
    <w:rsid w:val="2594C9EF"/>
    <w:rsid w:val="25FC13B8"/>
    <w:rsid w:val="25FCE5A7"/>
    <w:rsid w:val="2607B993"/>
    <w:rsid w:val="260AC2F7"/>
    <w:rsid w:val="261BEE1D"/>
    <w:rsid w:val="26F79B83"/>
    <w:rsid w:val="270D6166"/>
    <w:rsid w:val="274100F4"/>
    <w:rsid w:val="27583A11"/>
    <w:rsid w:val="27A0C6CE"/>
    <w:rsid w:val="27B7BE7E"/>
    <w:rsid w:val="2809357F"/>
    <w:rsid w:val="280BD0C8"/>
    <w:rsid w:val="28831CB8"/>
    <w:rsid w:val="28D7FB0A"/>
    <w:rsid w:val="29060AE3"/>
    <w:rsid w:val="292353B1"/>
    <w:rsid w:val="297BCD41"/>
    <w:rsid w:val="29AC3BBC"/>
    <w:rsid w:val="29D9D44B"/>
    <w:rsid w:val="29EF5549"/>
    <w:rsid w:val="29FC11D7"/>
    <w:rsid w:val="2AEF5F40"/>
    <w:rsid w:val="2AF74CC6"/>
    <w:rsid w:val="2AF7855A"/>
    <w:rsid w:val="2B0370B7"/>
    <w:rsid w:val="2C24D3B8"/>
    <w:rsid w:val="2C58DEB5"/>
    <w:rsid w:val="2C688722"/>
    <w:rsid w:val="2C966518"/>
    <w:rsid w:val="2CA0DD7F"/>
    <w:rsid w:val="2CEE0586"/>
    <w:rsid w:val="2D863041"/>
    <w:rsid w:val="2D8E2DD0"/>
    <w:rsid w:val="2D9B62E2"/>
    <w:rsid w:val="2DA139A7"/>
    <w:rsid w:val="2DBDAC86"/>
    <w:rsid w:val="2DD49F09"/>
    <w:rsid w:val="2DDC35A2"/>
    <w:rsid w:val="2E0CE495"/>
    <w:rsid w:val="2E1B10B2"/>
    <w:rsid w:val="2E2EED88"/>
    <w:rsid w:val="2E63792B"/>
    <w:rsid w:val="2EA35CD6"/>
    <w:rsid w:val="2EE8E370"/>
    <w:rsid w:val="2EF18419"/>
    <w:rsid w:val="2EF25E3C"/>
    <w:rsid w:val="2EFC9AB1"/>
    <w:rsid w:val="2F270DC6"/>
    <w:rsid w:val="2F29FE31"/>
    <w:rsid w:val="2F6F5EA9"/>
    <w:rsid w:val="2F78B62E"/>
    <w:rsid w:val="2F7BED90"/>
    <w:rsid w:val="2FCBBDAD"/>
    <w:rsid w:val="2FDE7619"/>
    <w:rsid w:val="2FEA9CD8"/>
    <w:rsid w:val="2FED545A"/>
    <w:rsid w:val="30074C80"/>
    <w:rsid w:val="300B7E9B"/>
    <w:rsid w:val="3024A6F8"/>
    <w:rsid w:val="30BEB879"/>
    <w:rsid w:val="310B1F90"/>
    <w:rsid w:val="31298D30"/>
    <w:rsid w:val="316313CB"/>
    <w:rsid w:val="31668E4A"/>
    <w:rsid w:val="3167EF10"/>
    <w:rsid w:val="318B0CEB"/>
    <w:rsid w:val="31CA2126"/>
    <w:rsid w:val="32018AEC"/>
    <w:rsid w:val="322D0302"/>
    <w:rsid w:val="323B050F"/>
    <w:rsid w:val="32983E38"/>
    <w:rsid w:val="329B8D4E"/>
    <w:rsid w:val="3301B525"/>
    <w:rsid w:val="33223D9A"/>
    <w:rsid w:val="333931C8"/>
    <w:rsid w:val="33431F5D"/>
    <w:rsid w:val="3346D938"/>
    <w:rsid w:val="33479303"/>
    <w:rsid w:val="335967C5"/>
    <w:rsid w:val="33859C93"/>
    <w:rsid w:val="338E881A"/>
    <w:rsid w:val="33D73C68"/>
    <w:rsid w:val="33F2177C"/>
    <w:rsid w:val="33FE1209"/>
    <w:rsid w:val="340A3445"/>
    <w:rsid w:val="34107B2B"/>
    <w:rsid w:val="345CB1FD"/>
    <w:rsid w:val="34739907"/>
    <w:rsid w:val="34DEEFBE"/>
    <w:rsid w:val="34E36364"/>
    <w:rsid w:val="3521068C"/>
    <w:rsid w:val="35235D50"/>
    <w:rsid w:val="3554E092"/>
    <w:rsid w:val="355D2B6C"/>
    <w:rsid w:val="356E7BFD"/>
    <w:rsid w:val="35A6A883"/>
    <w:rsid w:val="35AE63A1"/>
    <w:rsid w:val="35AF5DF7"/>
    <w:rsid w:val="35C75D59"/>
    <w:rsid w:val="35DD9BD3"/>
    <w:rsid w:val="35DEE011"/>
    <w:rsid w:val="363684EE"/>
    <w:rsid w:val="36548890"/>
    <w:rsid w:val="367AC01F"/>
    <w:rsid w:val="3687617E"/>
    <w:rsid w:val="36EE2D88"/>
    <w:rsid w:val="3716987E"/>
    <w:rsid w:val="372B307B"/>
    <w:rsid w:val="3730E0F4"/>
    <w:rsid w:val="3758A226"/>
    <w:rsid w:val="376A50F7"/>
    <w:rsid w:val="376A9FB6"/>
    <w:rsid w:val="37D2554F"/>
    <w:rsid w:val="37EEBDFD"/>
    <w:rsid w:val="37F8D854"/>
    <w:rsid w:val="3830B78A"/>
    <w:rsid w:val="38810EF9"/>
    <w:rsid w:val="388E7A39"/>
    <w:rsid w:val="39067017"/>
    <w:rsid w:val="393B284E"/>
    <w:rsid w:val="396E25B0"/>
    <w:rsid w:val="3A150821"/>
    <w:rsid w:val="3A277DE8"/>
    <w:rsid w:val="3A433FCE"/>
    <w:rsid w:val="3A462361"/>
    <w:rsid w:val="3A62ED5B"/>
    <w:rsid w:val="3A7131A4"/>
    <w:rsid w:val="3A82CF1A"/>
    <w:rsid w:val="3A88C95C"/>
    <w:rsid w:val="3A92F16D"/>
    <w:rsid w:val="3A966492"/>
    <w:rsid w:val="3AEAC811"/>
    <w:rsid w:val="3BA38F6F"/>
    <w:rsid w:val="3BA87BBD"/>
    <w:rsid w:val="3BAA960D"/>
    <w:rsid w:val="3BBCC1FE"/>
    <w:rsid w:val="3BF23BEA"/>
    <w:rsid w:val="3C869872"/>
    <w:rsid w:val="3C912F81"/>
    <w:rsid w:val="3CB1670B"/>
    <w:rsid w:val="3CB16E39"/>
    <w:rsid w:val="3CB1F068"/>
    <w:rsid w:val="3CEE7549"/>
    <w:rsid w:val="3D36BDDF"/>
    <w:rsid w:val="3D410EEB"/>
    <w:rsid w:val="3D6EF835"/>
    <w:rsid w:val="3D735AA0"/>
    <w:rsid w:val="3DB45451"/>
    <w:rsid w:val="3E1FB67F"/>
    <w:rsid w:val="3E2268D3"/>
    <w:rsid w:val="3E451152"/>
    <w:rsid w:val="3E8E1FFB"/>
    <w:rsid w:val="3ED28E40"/>
    <w:rsid w:val="3EF35F18"/>
    <w:rsid w:val="3F0AC896"/>
    <w:rsid w:val="3F106F8C"/>
    <w:rsid w:val="3F56403D"/>
    <w:rsid w:val="3F6BD0AC"/>
    <w:rsid w:val="3FBE3934"/>
    <w:rsid w:val="3FC5191A"/>
    <w:rsid w:val="3FFF1351"/>
    <w:rsid w:val="40156D56"/>
    <w:rsid w:val="402F8002"/>
    <w:rsid w:val="40393879"/>
    <w:rsid w:val="40621C4C"/>
    <w:rsid w:val="406E5EA1"/>
    <w:rsid w:val="40939825"/>
    <w:rsid w:val="40C43C4A"/>
    <w:rsid w:val="40D06FFE"/>
    <w:rsid w:val="40D7C808"/>
    <w:rsid w:val="4124647A"/>
    <w:rsid w:val="4126E359"/>
    <w:rsid w:val="41633EF2"/>
    <w:rsid w:val="41757231"/>
    <w:rsid w:val="41C12E31"/>
    <w:rsid w:val="41C6299A"/>
    <w:rsid w:val="41DD0CCA"/>
    <w:rsid w:val="42288EFD"/>
    <w:rsid w:val="4236A71A"/>
    <w:rsid w:val="4248104E"/>
    <w:rsid w:val="425E7A98"/>
    <w:rsid w:val="429199A5"/>
    <w:rsid w:val="43028542"/>
    <w:rsid w:val="434A0A0A"/>
    <w:rsid w:val="4361F9FB"/>
    <w:rsid w:val="4399BD0E"/>
    <w:rsid w:val="43A4F779"/>
    <w:rsid w:val="43E7A208"/>
    <w:rsid w:val="442BC6CF"/>
    <w:rsid w:val="444308DA"/>
    <w:rsid w:val="449A723E"/>
    <w:rsid w:val="450A8B5A"/>
    <w:rsid w:val="450AED79"/>
    <w:rsid w:val="45318454"/>
    <w:rsid w:val="4547CF42"/>
    <w:rsid w:val="454B1E58"/>
    <w:rsid w:val="45961B5A"/>
    <w:rsid w:val="45A3C409"/>
    <w:rsid w:val="45AF3E48"/>
    <w:rsid w:val="461BC55E"/>
    <w:rsid w:val="462EB3E7"/>
    <w:rsid w:val="4636429F"/>
    <w:rsid w:val="463FAA51"/>
    <w:rsid w:val="46443342"/>
    <w:rsid w:val="4677EFAC"/>
    <w:rsid w:val="467F0B56"/>
    <w:rsid w:val="4697D125"/>
    <w:rsid w:val="4698D16F"/>
    <w:rsid w:val="46A65BBB"/>
    <w:rsid w:val="46A6BDDA"/>
    <w:rsid w:val="4727434E"/>
    <w:rsid w:val="47532166"/>
    <w:rsid w:val="47803F3C"/>
    <w:rsid w:val="478AA894"/>
    <w:rsid w:val="479802CF"/>
    <w:rsid w:val="47AB6BF9"/>
    <w:rsid w:val="47CD2744"/>
    <w:rsid w:val="47D3A2D4"/>
    <w:rsid w:val="48089277"/>
    <w:rsid w:val="482E2E61"/>
    <w:rsid w:val="48752763"/>
    <w:rsid w:val="49051009"/>
    <w:rsid w:val="491E17ED"/>
    <w:rsid w:val="4928C534"/>
    <w:rsid w:val="49618AD0"/>
    <w:rsid w:val="49774B13"/>
    <w:rsid w:val="49808416"/>
    <w:rsid w:val="49B5AB42"/>
    <w:rsid w:val="4A13A52A"/>
    <w:rsid w:val="4A2598CF"/>
    <w:rsid w:val="4A4221D1"/>
    <w:rsid w:val="4A570153"/>
    <w:rsid w:val="4A9DCDFF"/>
    <w:rsid w:val="4ADD0F16"/>
    <w:rsid w:val="4B3EA36D"/>
    <w:rsid w:val="4B618C01"/>
    <w:rsid w:val="4B928A13"/>
    <w:rsid w:val="4BB0B024"/>
    <w:rsid w:val="4BFAB471"/>
    <w:rsid w:val="4C10176A"/>
    <w:rsid w:val="4C3BCE48"/>
    <w:rsid w:val="4C5817FF"/>
    <w:rsid w:val="4C935DB6"/>
    <w:rsid w:val="4C9C908C"/>
    <w:rsid w:val="4CB40CA9"/>
    <w:rsid w:val="4CB824D8"/>
    <w:rsid w:val="4CC0010C"/>
    <w:rsid w:val="4CF304B3"/>
    <w:rsid w:val="4D136549"/>
    <w:rsid w:val="4D5ADA14"/>
    <w:rsid w:val="4DAFAD2F"/>
    <w:rsid w:val="4DD56EC1"/>
    <w:rsid w:val="4DD8812C"/>
    <w:rsid w:val="4DD96065"/>
    <w:rsid w:val="4E0AA237"/>
    <w:rsid w:val="4E4B1132"/>
    <w:rsid w:val="4E6B39ED"/>
    <w:rsid w:val="4E7C549C"/>
    <w:rsid w:val="4E96063D"/>
    <w:rsid w:val="4EA512B1"/>
    <w:rsid w:val="4ECF2889"/>
    <w:rsid w:val="4ED3E879"/>
    <w:rsid w:val="4EDBE5C1"/>
    <w:rsid w:val="4EEE4A07"/>
    <w:rsid w:val="4EF09F90"/>
    <w:rsid w:val="4F19177C"/>
    <w:rsid w:val="4F219B28"/>
    <w:rsid w:val="4F388B30"/>
    <w:rsid w:val="4F693836"/>
    <w:rsid w:val="4F8AFB4D"/>
    <w:rsid w:val="4F8DC849"/>
    <w:rsid w:val="4FBA65CE"/>
    <w:rsid w:val="4FBCA1B9"/>
    <w:rsid w:val="4FC178F0"/>
    <w:rsid w:val="4FD6F84B"/>
    <w:rsid w:val="5011D05F"/>
    <w:rsid w:val="501CEC10"/>
    <w:rsid w:val="507EE82D"/>
    <w:rsid w:val="508C2F33"/>
    <w:rsid w:val="509A8BDE"/>
    <w:rsid w:val="50D1A013"/>
    <w:rsid w:val="50D45B91"/>
    <w:rsid w:val="51050897"/>
    <w:rsid w:val="510BD1C5"/>
    <w:rsid w:val="510D0F83"/>
    <w:rsid w:val="512F934C"/>
    <w:rsid w:val="5177D7F7"/>
    <w:rsid w:val="51C87B8F"/>
    <w:rsid w:val="521AB88E"/>
    <w:rsid w:val="5233E0EB"/>
    <w:rsid w:val="526D7074"/>
    <w:rsid w:val="52ABF24F"/>
    <w:rsid w:val="53800108"/>
    <w:rsid w:val="539A65E1"/>
    <w:rsid w:val="53A299AC"/>
    <w:rsid w:val="53B688EF"/>
    <w:rsid w:val="53E9C65C"/>
    <w:rsid w:val="53F35C3B"/>
    <w:rsid w:val="53F51A48"/>
    <w:rsid w:val="541EEEB3"/>
    <w:rsid w:val="542A373A"/>
    <w:rsid w:val="5444B045"/>
    <w:rsid w:val="549CF3D7"/>
    <w:rsid w:val="54C1EB40"/>
    <w:rsid w:val="550C3F04"/>
    <w:rsid w:val="551BDBAC"/>
    <w:rsid w:val="552838BE"/>
    <w:rsid w:val="55525950"/>
    <w:rsid w:val="55D11D31"/>
    <w:rsid w:val="56085C9C"/>
    <w:rsid w:val="565453EF"/>
    <w:rsid w:val="56566CF0"/>
    <w:rsid w:val="56617FD3"/>
    <w:rsid w:val="569B41E3"/>
    <w:rsid w:val="56AD08D5"/>
    <w:rsid w:val="56EE29B1"/>
    <w:rsid w:val="56EF6F20"/>
    <w:rsid w:val="56F8653C"/>
    <w:rsid w:val="56FBB175"/>
    <w:rsid w:val="571BA8A3"/>
    <w:rsid w:val="5755DA80"/>
    <w:rsid w:val="579A7CB6"/>
    <w:rsid w:val="57BA64AA"/>
    <w:rsid w:val="57EFEBA7"/>
    <w:rsid w:val="5805989F"/>
    <w:rsid w:val="5805BE4E"/>
    <w:rsid w:val="58217C0D"/>
    <w:rsid w:val="588C2AE9"/>
    <w:rsid w:val="5894447D"/>
    <w:rsid w:val="589781D6"/>
    <w:rsid w:val="58D9BFE7"/>
    <w:rsid w:val="58E124FF"/>
    <w:rsid w:val="58FC85E9"/>
    <w:rsid w:val="591DC056"/>
    <w:rsid w:val="5921E650"/>
    <w:rsid w:val="59D6CAE1"/>
    <w:rsid w:val="5A25CA73"/>
    <w:rsid w:val="5A270FE2"/>
    <w:rsid w:val="5A3487CA"/>
    <w:rsid w:val="5A44DCF2"/>
    <w:rsid w:val="5A788259"/>
    <w:rsid w:val="5AA48E54"/>
    <w:rsid w:val="5B0058BC"/>
    <w:rsid w:val="5B6EB306"/>
    <w:rsid w:val="5B7506B8"/>
    <w:rsid w:val="5C065FD4"/>
    <w:rsid w:val="5C3FA67A"/>
    <w:rsid w:val="5CBE3725"/>
    <w:rsid w:val="5CD4DAB7"/>
    <w:rsid w:val="5CF61B3E"/>
    <w:rsid w:val="5D6558BB"/>
    <w:rsid w:val="5D82C634"/>
    <w:rsid w:val="5DAC5E21"/>
    <w:rsid w:val="5DAE37CA"/>
    <w:rsid w:val="5DB183E1"/>
    <w:rsid w:val="5DD12C70"/>
    <w:rsid w:val="5DD318BC"/>
    <w:rsid w:val="5DDB76DB"/>
    <w:rsid w:val="5DEACDB5"/>
    <w:rsid w:val="5E6007DA"/>
    <w:rsid w:val="5F01291C"/>
    <w:rsid w:val="5F3E0096"/>
    <w:rsid w:val="5FF94D3B"/>
    <w:rsid w:val="5FFB44EA"/>
    <w:rsid w:val="60215669"/>
    <w:rsid w:val="6072A681"/>
    <w:rsid w:val="609CF97D"/>
    <w:rsid w:val="60A5E152"/>
    <w:rsid w:val="60AE3454"/>
    <w:rsid w:val="60E6C5E0"/>
    <w:rsid w:val="60F94A75"/>
    <w:rsid w:val="6113179D"/>
    <w:rsid w:val="612B1C0E"/>
    <w:rsid w:val="613DFC61"/>
    <w:rsid w:val="617EF287"/>
    <w:rsid w:val="61B65A35"/>
    <w:rsid w:val="61BEE3F4"/>
    <w:rsid w:val="61C85E53"/>
    <w:rsid w:val="61D199AF"/>
    <w:rsid w:val="61E7C2B9"/>
    <w:rsid w:val="61EE5974"/>
    <w:rsid w:val="621E19D1"/>
    <w:rsid w:val="6238C9DE"/>
    <w:rsid w:val="623A8C57"/>
    <w:rsid w:val="628019BF"/>
    <w:rsid w:val="62E6BF31"/>
    <w:rsid w:val="638AD9BD"/>
    <w:rsid w:val="63D49A3F"/>
    <w:rsid w:val="640F40B5"/>
    <w:rsid w:val="641171B9"/>
    <w:rsid w:val="641824BC"/>
    <w:rsid w:val="6421B888"/>
    <w:rsid w:val="64276901"/>
    <w:rsid w:val="64985239"/>
    <w:rsid w:val="64CAF34A"/>
    <w:rsid w:val="64F4A6EA"/>
    <w:rsid w:val="65196191"/>
    <w:rsid w:val="65687D1A"/>
    <w:rsid w:val="65711ACB"/>
    <w:rsid w:val="658531A1"/>
    <w:rsid w:val="65C27900"/>
    <w:rsid w:val="65D64413"/>
    <w:rsid w:val="65D69846"/>
    <w:rsid w:val="6609583F"/>
    <w:rsid w:val="663BE5A5"/>
    <w:rsid w:val="6643C7DB"/>
    <w:rsid w:val="66925517"/>
    <w:rsid w:val="66DD9E9E"/>
    <w:rsid w:val="66E9E1E0"/>
    <w:rsid w:val="671700C8"/>
    <w:rsid w:val="6749127B"/>
    <w:rsid w:val="67825921"/>
    <w:rsid w:val="67D36272"/>
    <w:rsid w:val="67FBA843"/>
    <w:rsid w:val="68045591"/>
    <w:rsid w:val="68BCC1D8"/>
    <w:rsid w:val="68E2B1D8"/>
    <w:rsid w:val="690437A4"/>
    <w:rsid w:val="6976F7DE"/>
    <w:rsid w:val="69932421"/>
    <w:rsid w:val="699778A4"/>
    <w:rsid w:val="6997E140"/>
    <w:rsid w:val="69E698B5"/>
    <w:rsid w:val="69E97085"/>
    <w:rsid w:val="69F0F3F5"/>
    <w:rsid w:val="69F7F36D"/>
    <w:rsid w:val="6A6125B1"/>
    <w:rsid w:val="6A6902A3"/>
    <w:rsid w:val="6A7620D1"/>
    <w:rsid w:val="6A80B33D"/>
    <w:rsid w:val="6A8F53C6"/>
    <w:rsid w:val="6A93192A"/>
    <w:rsid w:val="6AE531F8"/>
    <w:rsid w:val="6B1738FE"/>
    <w:rsid w:val="6B334905"/>
    <w:rsid w:val="6B3DD9A8"/>
    <w:rsid w:val="6B826916"/>
    <w:rsid w:val="6C1281A1"/>
    <w:rsid w:val="6C1C839E"/>
    <w:rsid w:val="6C2EE98B"/>
    <w:rsid w:val="6C7BDB90"/>
    <w:rsid w:val="6C8FCA6C"/>
    <w:rsid w:val="6D0DD286"/>
    <w:rsid w:val="6D106F6B"/>
    <w:rsid w:val="6D144C56"/>
    <w:rsid w:val="6D3FFB07"/>
    <w:rsid w:val="6D56B3E3"/>
    <w:rsid w:val="6D5FEF8B"/>
    <w:rsid w:val="6D895BD3"/>
    <w:rsid w:val="6D949519"/>
    <w:rsid w:val="6DAFE9C6"/>
    <w:rsid w:val="6DB622FB"/>
    <w:rsid w:val="6DB66CD4"/>
    <w:rsid w:val="6DD6E3E2"/>
    <w:rsid w:val="6E2355B1"/>
    <w:rsid w:val="6E302712"/>
    <w:rsid w:val="6E62FCDF"/>
    <w:rsid w:val="6E70A2DE"/>
    <w:rsid w:val="6E7D85D9"/>
    <w:rsid w:val="6EA9A2E7"/>
    <w:rsid w:val="6EBCE1A8"/>
    <w:rsid w:val="6EDBCB68"/>
    <w:rsid w:val="6EFF1354"/>
    <w:rsid w:val="6F3A9775"/>
    <w:rsid w:val="6F40D1FD"/>
    <w:rsid w:val="6FDC3C26"/>
    <w:rsid w:val="7006BA28"/>
    <w:rsid w:val="706A2F20"/>
    <w:rsid w:val="70CA7977"/>
    <w:rsid w:val="70E02828"/>
    <w:rsid w:val="70E65CAF"/>
    <w:rsid w:val="7126D87B"/>
    <w:rsid w:val="713D639F"/>
    <w:rsid w:val="713FB00B"/>
    <w:rsid w:val="7171DB14"/>
    <w:rsid w:val="71A28A89"/>
    <w:rsid w:val="71B01D84"/>
    <w:rsid w:val="71B5269B"/>
    <w:rsid w:val="71D5D1C4"/>
    <w:rsid w:val="72087904"/>
    <w:rsid w:val="72848D61"/>
    <w:rsid w:val="7284A7FE"/>
    <w:rsid w:val="7289DDF7"/>
    <w:rsid w:val="729B5E66"/>
    <w:rsid w:val="72C9281B"/>
    <w:rsid w:val="72CC4530"/>
    <w:rsid w:val="7329883E"/>
    <w:rsid w:val="734446E5"/>
    <w:rsid w:val="7350F6FC"/>
    <w:rsid w:val="73822263"/>
    <w:rsid w:val="73AF3C8B"/>
    <w:rsid w:val="73B92D6D"/>
    <w:rsid w:val="73EFA5FF"/>
    <w:rsid w:val="74021CF7"/>
    <w:rsid w:val="740BA069"/>
    <w:rsid w:val="74128B54"/>
    <w:rsid w:val="742AC707"/>
    <w:rsid w:val="7445D770"/>
    <w:rsid w:val="7489E43C"/>
    <w:rsid w:val="74AC1FC4"/>
    <w:rsid w:val="74B05338"/>
    <w:rsid w:val="74BD6B19"/>
    <w:rsid w:val="74DA2B4B"/>
    <w:rsid w:val="753A5798"/>
    <w:rsid w:val="75C17EB9"/>
    <w:rsid w:val="75CEB360"/>
    <w:rsid w:val="75D5C625"/>
    <w:rsid w:val="75D5CBD1"/>
    <w:rsid w:val="75E83FBE"/>
    <w:rsid w:val="75F45563"/>
    <w:rsid w:val="7647D28E"/>
    <w:rsid w:val="76610CAE"/>
    <w:rsid w:val="76756174"/>
    <w:rsid w:val="76894AE1"/>
    <w:rsid w:val="769AB889"/>
    <w:rsid w:val="76A878E1"/>
    <w:rsid w:val="76BA9E9D"/>
    <w:rsid w:val="77225ECB"/>
    <w:rsid w:val="775D4F1A"/>
    <w:rsid w:val="7794867A"/>
    <w:rsid w:val="78251B42"/>
    <w:rsid w:val="783688EA"/>
    <w:rsid w:val="785254CD"/>
    <w:rsid w:val="78528F93"/>
    <w:rsid w:val="785F220E"/>
    <w:rsid w:val="78AC2B16"/>
    <w:rsid w:val="78F7B086"/>
    <w:rsid w:val="78F9EB17"/>
    <w:rsid w:val="790D6C93"/>
    <w:rsid w:val="79143AE9"/>
    <w:rsid w:val="79298C45"/>
    <w:rsid w:val="79444820"/>
    <w:rsid w:val="795C5D71"/>
    <w:rsid w:val="799012EE"/>
    <w:rsid w:val="79FCF429"/>
    <w:rsid w:val="7AE78894"/>
    <w:rsid w:val="7B71719D"/>
    <w:rsid w:val="7B71C287"/>
    <w:rsid w:val="7B8699CE"/>
    <w:rsid w:val="7BA173FF"/>
    <w:rsid w:val="7BBABA8D"/>
    <w:rsid w:val="7BE172FC"/>
    <w:rsid w:val="7C0F9F89"/>
    <w:rsid w:val="7C4147F1"/>
    <w:rsid w:val="7C4ED622"/>
    <w:rsid w:val="7CA2881A"/>
    <w:rsid w:val="7CA5DAE6"/>
    <w:rsid w:val="7D2BE3D6"/>
    <w:rsid w:val="7D93C550"/>
    <w:rsid w:val="7E0D9F47"/>
    <w:rsid w:val="7E28A8C2"/>
    <w:rsid w:val="7E418650"/>
    <w:rsid w:val="7E8998F6"/>
    <w:rsid w:val="7EFFB37D"/>
    <w:rsid w:val="7F110C78"/>
    <w:rsid w:val="7F605894"/>
    <w:rsid w:val="7F69217B"/>
    <w:rsid w:val="7F7E775E"/>
    <w:rsid w:val="7FBE8E09"/>
    <w:rsid w:val="7FCA062B"/>
    <w:rsid w:val="7FDF58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5CD0F"/>
  <w15:chartTrackingRefBased/>
  <w15:docId w15:val="{6A3C7E64-06C9-4239-8F43-6F6D0771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0929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7"/>
      </w:numPr>
      <w:suppressAutoHyphens/>
      <w:spacing w:before="240" w:after="240"/>
      <w:jc w:val="both"/>
      <w:outlineLvl w:val="0"/>
    </w:pPr>
    <w:rPr>
      <w:szCs w:val="20"/>
    </w:rPr>
  </w:style>
  <w:style w:type="paragraph" w:customStyle="1" w:styleId="ParaLevel2">
    <w:name w:val="ParaLevel2"/>
    <w:basedOn w:val="Normal"/>
    <w:pPr>
      <w:numPr>
        <w:ilvl w:val="1"/>
        <w:numId w:val="8"/>
      </w:numPr>
      <w:suppressAutoHyphens/>
      <w:spacing w:before="240" w:after="240"/>
      <w:jc w:val="both"/>
      <w:outlineLvl w:val="1"/>
    </w:pPr>
    <w:rPr>
      <w:szCs w:val="20"/>
    </w:rPr>
  </w:style>
  <w:style w:type="paragraph" w:customStyle="1" w:styleId="ParaLevel3">
    <w:name w:val="ParaLevel3"/>
    <w:basedOn w:val="Normal"/>
    <w:pPr>
      <w:numPr>
        <w:ilvl w:val="2"/>
        <w:numId w:val="9"/>
      </w:numPr>
      <w:suppressAutoHyphens/>
      <w:spacing w:before="240" w:after="240"/>
      <w:jc w:val="both"/>
      <w:outlineLvl w:val="2"/>
    </w:pPr>
    <w:rPr>
      <w:szCs w:val="20"/>
    </w:rPr>
  </w:style>
  <w:style w:type="paragraph" w:customStyle="1" w:styleId="ParaLevel4">
    <w:name w:val="ParaLevel4"/>
    <w:basedOn w:val="Normal"/>
    <w:pPr>
      <w:numPr>
        <w:ilvl w:val="3"/>
        <w:numId w:val="10"/>
      </w:numPr>
      <w:suppressAutoHyphens/>
      <w:spacing w:before="240" w:after="240"/>
      <w:jc w:val="both"/>
      <w:outlineLvl w:val="3"/>
    </w:pPr>
    <w:rPr>
      <w:szCs w:val="20"/>
    </w:rPr>
  </w:style>
  <w:style w:type="paragraph" w:customStyle="1" w:styleId="ParaLevel5">
    <w:name w:val="ParaLevel5"/>
    <w:basedOn w:val="Normal"/>
    <w:pPr>
      <w:numPr>
        <w:ilvl w:val="4"/>
        <w:numId w:val="11"/>
      </w:numPr>
      <w:tabs>
        <w:tab w:val="clear" w:pos="2552"/>
        <w:tab w:val="num" w:pos="3545"/>
      </w:tabs>
      <w:suppressAutoHyphens/>
      <w:spacing w:before="240" w:after="240"/>
      <w:ind w:left="3545"/>
      <w:jc w:val="both"/>
      <w:outlineLvl w:val="4"/>
    </w:pPr>
    <w:rPr>
      <w:szCs w:val="20"/>
    </w:rPr>
  </w:style>
  <w:style w:type="paragraph" w:customStyle="1" w:styleId="ParaLevel6">
    <w:name w:val="ParaLevel6"/>
    <w:basedOn w:val="Normal"/>
    <w:pPr>
      <w:numPr>
        <w:ilvl w:val="5"/>
        <w:numId w:val="12"/>
      </w:numPr>
      <w:suppressAutoHyphens/>
      <w:spacing w:before="240" w:after="240"/>
      <w:jc w:val="both"/>
      <w:outlineLvl w:val="5"/>
    </w:pPr>
    <w:rPr>
      <w:szCs w:val="20"/>
    </w:rPr>
  </w:style>
  <w:style w:type="paragraph" w:customStyle="1" w:styleId="ParaLevel7">
    <w:name w:val="ParaLevel7"/>
    <w:basedOn w:val="Normal"/>
    <w:pPr>
      <w:numPr>
        <w:ilvl w:val="6"/>
        <w:numId w:val="13"/>
      </w:numPr>
      <w:suppressAutoHyphens/>
      <w:spacing w:before="240" w:after="240"/>
      <w:jc w:val="both"/>
      <w:outlineLvl w:val="6"/>
    </w:pPr>
    <w:rPr>
      <w:szCs w:val="20"/>
    </w:rPr>
  </w:style>
  <w:style w:type="paragraph" w:customStyle="1" w:styleId="ParaLevel8">
    <w:name w:val="ParaLevel8"/>
    <w:basedOn w:val="Normal"/>
    <w:pPr>
      <w:numPr>
        <w:ilvl w:val="7"/>
        <w:numId w:val="14"/>
      </w:numPr>
      <w:suppressAutoHyphens/>
      <w:spacing w:before="240" w:after="240"/>
      <w:jc w:val="both"/>
      <w:outlineLvl w:val="7"/>
    </w:pPr>
    <w:rPr>
      <w:szCs w:val="20"/>
    </w:rPr>
  </w:style>
  <w:style w:type="paragraph" w:customStyle="1" w:styleId="ParaLevel9">
    <w:name w:val="ParaLevel9"/>
    <w:basedOn w:val="Normal"/>
    <w:pPr>
      <w:numPr>
        <w:ilvl w:val="8"/>
        <w:numId w:val="15"/>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uiPriority w:val="99"/>
    <w:unhideWhenUsed/>
    <w:rsid w:val="00A80893"/>
    <w:rPr>
      <w:color w:val="0000FF"/>
      <w:u w:val="single"/>
    </w:rPr>
  </w:style>
  <w:style w:type="paragraph" w:styleId="ListParagraph">
    <w:name w:val="List Paragraph"/>
    <w:basedOn w:val="Normal"/>
    <w:uiPriority w:val="34"/>
    <w:qFormat/>
    <w:rsid w:val="00A80893"/>
    <w:pPr>
      <w:spacing w:after="160" w:line="256" w:lineRule="auto"/>
      <w:ind w:left="720"/>
      <w:contextualSpacing/>
    </w:pPr>
    <w:rPr>
      <w:rFonts w:eastAsia="Calibri"/>
      <w:sz w:val="28"/>
      <w:szCs w:val="28"/>
    </w:rPr>
  </w:style>
  <w:style w:type="paragraph" w:customStyle="1" w:styleId="legclearfix">
    <w:name w:val="legclearfix"/>
    <w:basedOn w:val="Normal"/>
    <w:rsid w:val="00B01435"/>
    <w:pPr>
      <w:spacing w:before="100" w:beforeAutospacing="1" w:after="100" w:afterAutospacing="1"/>
    </w:pPr>
    <w:rPr>
      <w:lang w:eastAsia="en-GB"/>
    </w:rPr>
  </w:style>
  <w:style w:type="character" w:customStyle="1" w:styleId="legds">
    <w:name w:val="legds"/>
    <w:basedOn w:val="DefaultParagraphFont"/>
    <w:rsid w:val="00B01435"/>
  </w:style>
  <w:style w:type="character" w:customStyle="1" w:styleId="legterm">
    <w:name w:val="legterm"/>
    <w:basedOn w:val="DefaultParagraphFont"/>
    <w:rsid w:val="00B01435"/>
  </w:style>
  <w:style w:type="character" w:customStyle="1" w:styleId="Heading4Char">
    <w:name w:val="Heading 4 Char"/>
    <w:basedOn w:val="DefaultParagraphFont"/>
    <w:link w:val="Heading4"/>
    <w:semiHidden/>
    <w:rsid w:val="0009295B"/>
    <w:rPr>
      <w:rFonts w:asciiTheme="majorHAnsi" w:eastAsiaTheme="majorEastAsia" w:hAnsiTheme="majorHAnsi" w:cstheme="majorBidi"/>
      <w:i/>
      <w:iCs/>
      <w:color w:val="2F5496" w:themeColor="accent1" w:themeShade="BF"/>
      <w:sz w:val="24"/>
      <w:szCs w:val="24"/>
      <w:lang w:eastAsia="en-US"/>
    </w:rPr>
  </w:style>
  <w:style w:type="character" w:customStyle="1" w:styleId="legchangedelimiter">
    <w:name w:val="legchangedelimiter"/>
    <w:basedOn w:val="DefaultParagraphFont"/>
    <w:rsid w:val="0009295B"/>
  </w:style>
  <w:style w:type="character" w:customStyle="1" w:styleId="legsubstitution">
    <w:name w:val="legsubstitution"/>
    <w:basedOn w:val="DefaultParagraphFont"/>
    <w:rsid w:val="0009295B"/>
  </w:style>
  <w:style w:type="paragraph" w:customStyle="1" w:styleId="legrhs">
    <w:name w:val="legrhs"/>
    <w:basedOn w:val="Normal"/>
    <w:rsid w:val="00F436B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42572">
      <w:bodyDiv w:val="1"/>
      <w:marLeft w:val="0"/>
      <w:marRight w:val="0"/>
      <w:marTop w:val="0"/>
      <w:marBottom w:val="0"/>
      <w:divBdr>
        <w:top w:val="none" w:sz="0" w:space="0" w:color="auto"/>
        <w:left w:val="none" w:sz="0" w:space="0" w:color="auto"/>
        <w:bottom w:val="none" w:sz="0" w:space="0" w:color="auto"/>
        <w:right w:val="none" w:sz="0" w:space="0" w:color="auto"/>
      </w:divBdr>
    </w:div>
    <w:div w:id="1173029917">
      <w:bodyDiv w:val="1"/>
      <w:marLeft w:val="0"/>
      <w:marRight w:val="0"/>
      <w:marTop w:val="0"/>
      <w:marBottom w:val="0"/>
      <w:divBdr>
        <w:top w:val="none" w:sz="0" w:space="0" w:color="auto"/>
        <w:left w:val="none" w:sz="0" w:space="0" w:color="auto"/>
        <w:bottom w:val="none" w:sz="0" w:space="0" w:color="auto"/>
        <w:right w:val="none" w:sz="0" w:space="0" w:color="auto"/>
      </w:divBdr>
    </w:div>
    <w:div w:id="1177235139">
      <w:bodyDiv w:val="1"/>
      <w:marLeft w:val="0"/>
      <w:marRight w:val="0"/>
      <w:marTop w:val="0"/>
      <w:marBottom w:val="0"/>
      <w:divBdr>
        <w:top w:val="none" w:sz="0" w:space="0" w:color="auto"/>
        <w:left w:val="none" w:sz="0" w:space="0" w:color="auto"/>
        <w:bottom w:val="none" w:sz="0" w:space="0" w:color="auto"/>
        <w:right w:val="none" w:sz="0" w:space="0" w:color="auto"/>
      </w:divBdr>
    </w:div>
    <w:div w:id="1625691655">
      <w:bodyDiv w:val="1"/>
      <w:marLeft w:val="0"/>
      <w:marRight w:val="0"/>
      <w:marTop w:val="0"/>
      <w:marBottom w:val="0"/>
      <w:divBdr>
        <w:top w:val="none" w:sz="0" w:space="0" w:color="auto"/>
        <w:left w:val="none" w:sz="0" w:space="0" w:color="auto"/>
        <w:bottom w:val="none" w:sz="0" w:space="0" w:color="auto"/>
        <w:right w:val="none" w:sz="0" w:space="0" w:color="auto"/>
      </w:divBdr>
    </w:div>
    <w:div w:id="1840610384">
      <w:bodyDiv w:val="1"/>
      <w:marLeft w:val="0"/>
      <w:marRight w:val="0"/>
      <w:marTop w:val="0"/>
      <w:marBottom w:val="0"/>
      <w:divBdr>
        <w:top w:val="none" w:sz="0" w:space="0" w:color="auto"/>
        <w:left w:val="none" w:sz="0" w:space="0" w:color="auto"/>
        <w:bottom w:val="none" w:sz="0" w:space="0" w:color="auto"/>
        <w:right w:val="none" w:sz="0" w:space="0" w:color="auto"/>
      </w:divBdr>
    </w:div>
    <w:div w:id="18480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legislation.gov.uk/ukpga/2012/21/section/107/enac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egislation.gov.uk/ukpga/2012/21/section/107/enacted"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0eb60cfef7fc47f1" Type="http://schemas.microsoft.com/office/2020/10/relationships/intelligence" Target="intelligence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m47f\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139</TotalTime>
  <Pages>25</Pages>
  <Words>10419</Words>
  <Characters>59393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69673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Jenkins, Susan (RCJ)</dc:creator>
  <cp:keywords/>
  <dc:description/>
  <cp:lastModifiedBy>Jenkins, Susan (RCJ)</cp:lastModifiedBy>
  <cp:revision>21</cp:revision>
  <cp:lastPrinted>2023-01-13T09:06:00Z</cp:lastPrinted>
  <dcterms:created xsi:type="dcterms:W3CDTF">2023-01-13T09:07:00Z</dcterms:created>
  <dcterms:modified xsi:type="dcterms:W3CDTF">2023-01-30T14:39:00Z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CRIMINAL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Crim</vt:lpwstr>
  </property>
  <property fmtid="{D5CDD505-2E9C-101B-9397-08002B2CF9AE}" pid="8" name="NCCaseNum">
    <vt:lpwstr>202200816 B3, 202202247 B3, 202202248 B3, 202202249 BC, 202202250 B3, 202202252 B3, 202201866 B4, 202201868 B4</vt:lpwstr>
  </property>
  <property fmtid="{D5CDD505-2E9C-101B-9397-08002B2CF9AE}" pid="9" name="NCJudge">
    <vt:lpwstr>THE LORD CHIEF JUSTICE OF ENGLAND AND WALES</vt:lpwstr>
  </property>
  <property fmtid="{D5CDD505-2E9C-101B-9397-08002B2CF9AE}" pid="10" name="NCNumber">
    <vt:lpwstr>[2023] EWCA Crim 6</vt:lpwstr>
  </property>
  <property fmtid="{D5CDD505-2E9C-101B-9397-08002B2CF9AE}" pid="11" name="NCJudgeDate">
    <vt:lpwstr>16/01/2023</vt:lpwstr>
  </property>
</Properties>
</file>