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C88FE" w14:textId="77777777" w:rsidR="00426D1B" w:rsidRPr="00426D1B" w:rsidRDefault="00426D1B" w:rsidP="00D55189">
      <w:pPr>
        <w:jc w:val="both"/>
        <w:rPr>
          <w:b/>
          <w:bCs/>
        </w:rPr>
      </w:pPr>
    </w:p>
    <w:p w14:paraId="21385EA4" w14:textId="45B10841" w:rsidR="00426D1B" w:rsidRPr="00426D1B" w:rsidRDefault="00426D1B" w:rsidP="00D55189">
      <w:pPr>
        <w:jc w:val="both"/>
        <w:rPr>
          <w:b/>
          <w:bCs/>
        </w:rPr>
      </w:pPr>
      <w:r w:rsidRPr="00426D1B">
        <w:rPr>
          <w:b/>
          <w:bCs/>
        </w:rPr>
        <w:t xml:space="preserve">'Back to the Future’ </w:t>
      </w:r>
      <w:r>
        <w:rPr>
          <w:b/>
          <w:bCs/>
        </w:rPr>
        <w:t>The proposed approach to l</w:t>
      </w:r>
      <w:r w:rsidRPr="00426D1B">
        <w:rPr>
          <w:b/>
          <w:bCs/>
        </w:rPr>
        <w:t xml:space="preserve">egal regulation of Artificial Intelligence </w:t>
      </w:r>
      <w:r>
        <w:rPr>
          <w:b/>
          <w:bCs/>
        </w:rPr>
        <w:t>in the UK</w:t>
      </w:r>
    </w:p>
    <w:p w14:paraId="4E8103D3" w14:textId="277A7DC9" w:rsidR="007A3487" w:rsidRDefault="00D04318" w:rsidP="00D55189">
      <w:pPr>
        <w:jc w:val="both"/>
      </w:pPr>
      <w:r>
        <w:t xml:space="preserve">The Government’s White Paper ‘A pro-innovation approach to AI regulation’ was published on the 29 March 2023. </w:t>
      </w:r>
    </w:p>
    <w:p w14:paraId="32E2D267" w14:textId="309F0C47" w:rsidR="001F2FE2" w:rsidRDefault="007A3487" w:rsidP="00D55189">
      <w:pPr>
        <w:jc w:val="both"/>
      </w:pPr>
      <w:r>
        <w:t>Each passing day brings with it a further opinion on the perceived benefits or risks associated with this evolving technology but, for the lawyer, the</w:t>
      </w:r>
      <w:r w:rsidR="00426D1B">
        <w:t xml:space="preserve"> starkest</w:t>
      </w:r>
      <w:r>
        <w:t xml:space="preserve"> challenges that the development of AI </w:t>
      </w:r>
      <w:r w:rsidR="00EB0CC7">
        <w:t>poses</w:t>
      </w:r>
      <w:r w:rsidR="00130694">
        <w:t>,</w:t>
      </w:r>
      <w:r w:rsidR="00EB0CC7">
        <w:t xml:space="preserve"> as </w:t>
      </w:r>
      <w:r>
        <w:t>identified in the continuing academic debate are, fundamentally, ones of transparency and accountability. The case for regulation is, it is suggested, a clear one but</w:t>
      </w:r>
      <w:r w:rsidR="001F2FE2">
        <w:t>,</w:t>
      </w:r>
      <w:r>
        <w:t xml:space="preserve"> for the practical regulatory practitioner</w:t>
      </w:r>
      <w:r w:rsidR="001F2FE2">
        <w:t>,</w:t>
      </w:r>
      <w:r>
        <w:t xml:space="preserve"> the</w:t>
      </w:r>
      <w:r w:rsidR="001F2FE2">
        <w:t xml:space="preserve"> major question is what form </w:t>
      </w:r>
      <w:r w:rsidR="00426D1B">
        <w:t xml:space="preserve">it </w:t>
      </w:r>
      <w:r w:rsidR="001F2FE2">
        <w:t>should</w:t>
      </w:r>
      <w:r w:rsidR="00130694">
        <w:t xml:space="preserve"> </w:t>
      </w:r>
      <w:r w:rsidR="001F2FE2">
        <w:t>take.</w:t>
      </w:r>
      <w:r w:rsidR="00EB0CC7">
        <w:t xml:space="preserve"> The government’s proposals, in essence, seek to rely on existing regulators using their existing powers, guided by </w:t>
      </w:r>
      <w:r w:rsidR="00536DE9">
        <w:t>five</w:t>
      </w:r>
      <w:r w:rsidR="00EB0CC7">
        <w:t xml:space="preserve"> principles, to regulate AI issues that may arise within their remit.    </w:t>
      </w:r>
    </w:p>
    <w:p w14:paraId="1372801C" w14:textId="68175A96" w:rsidR="001F2FE2" w:rsidRDefault="001F2FE2" w:rsidP="00D55189">
      <w:pPr>
        <w:jc w:val="both"/>
      </w:pPr>
      <w:r>
        <w:t>The government’s white paper acknowledges that many existing regulators will need to acquire new skills and expertise</w:t>
      </w:r>
      <w:r w:rsidR="00EB0CC7">
        <w:t xml:space="preserve"> to do this effectively. </w:t>
      </w:r>
      <w:r>
        <w:t xml:space="preserve">The work that </w:t>
      </w:r>
      <w:r w:rsidR="00403E8A">
        <w:t xml:space="preserve">the government </w:t>
      </w:r>
      <w:r>
        <w:t>has done has, in the words of the white paper</w:t>
      </w:r>
      <w:r w:rsidR="00130694">
        <w:t>,</w:t>
      </w:r>
      <w:r>
        <w:t xml:space="preserve"> ‘</w:t>
      </w:r>
      <w:r w:rsidRPr="00EF5D9A">
        <w:rPr>
          <w:i/>
          <w:iCs/>
        </w:rPr>
        <w:t>highlighted different levels of capability among regulators when it comes to understanding AI and addressing its unique characteristics</w:t>
      </w:r>
      <w:r w:rsidR="00130694">
        <w:rPr>
          <w:i/>
          <w:iCs/>
        </w:rPr>
        <w:t>’</w:t>
      </w:r>
      <w:r w:rsidRPr="00EF5D9A">
        <w:rPr>
          <w:i/>
          <w:iCs/>
        </w:rPr>
        <w:t>.</w:t>
      </w:r>
      <w:r>
        <w:t xml:space="preserve"> Matters go further as the white paper appears to acknowledge that there is no immediate consensus on what skills regulators will actually need to acquire in order to effective</w:t>
      </w:r>
      <w:r w:rsidR="00AA7BD2">
        <w:t>ly</w:t>
      </w:r>
      <w:r w:rsidR="00EB0CC7">
        <w:t xml:space="preserve"> deal with the issues</w:t>
      </w:r>
      <w:r w:rsidR="00403E8A">
        <w:t xml:space="preserve"> that </w:t>
      </w:r>
      <w:r w:rsidR="00AA7BD2">
        <w:t>will be</w:t>
      </w:r>
      <w:r w:rsidR="00403E8A">
        <w:t xml:space="preserve"> raised</w:t>
      </w:r>
      <w:r>
        <w:t>.</w:t>
      </w:r>
      <w:r w:rsidR="00EF5D9A">
        <w:t xml:space="preserve"> </w:t>
      </w:r>
      <w:r w:rsidR="00403E8A">
        <w:t>Further</w:t>
      </w:r>
      <w:r w:rsidR="00EF5D9A">
        <w:t xml:space="preserve">, the government does expect regulators to be </w:t>
      </w:r>
      <w:r w:rsidR="00403E8A">
        <w:t xml:space="preserve">sufficiently informed since </w:t>
      </w:r>
      <w:r w:rsidR="00EF5D9A">
        <w:t>AI innovators are to be encouraged to draw up</w:t>
      </w:r>
      <w:r w:rsidR="00EB0CC7">
        <w:t>on</w:t>
      </w:r>
      <w:r w:rsidR="00EF5D9A">
        <w:t xml:space="preserve"> the</w:t>
      </w:r>
      <w:r w:rsidR="00AA7BD2">
        <w:t>ir</w:t>
      </w:r>
      <w:r w:rsidR="00EB0CC7">
        <w:t xml:space="preserve"> </w:t>
      </w:r>
      <w:r w:rsidR="00EF5D9A">
        <w:t>expertise</w:t>
      </w:r>
      <w:r w:rsidR="00403E8A">
        <w:t>.</w:t>
      </w:r>
      <w:r w:rsidR="0010057A">
        <w:t xml:space="preserve"> </w:t>
      </w:r>
      <w:r w:rsidR="00403E8A">
        <w:t>F</w:t>
      </w:r>
      <w:r w:rsidR="0010057A">
        <w:t xml:space="preserve">or those who have been exposed to risks associated with AI, </w:t>
      </w:r>
      <w:r w:rsidR="00403E8A">
        <w:t xml:space="preserve">the regulator will be expected </w:t>
      </w:r>
      <w:r w:rsidR="0010057A">
        <w:t>to ‘</w:t>
      </w:r>
      <w:r w:rsidR="0010057A" w:rsidRPr="0010057A">
        <w:rPr>
          <w:i/>
          <w:iCs/>
        </w:rPr>
        <w:t xml:space="preserve">clarify existing routes to contestability and </w:t>
      </w:r>
      <w:proofErr w:type="gramStart"/>
      <w:r w:rsidR="0010057A" w:rsidRPr="0010057A">
        <w:rPr>
          <w:i/>
          <w:iCs/>
        </w:rPr>
        <w:t>redress, and</w:t>
      </w:r>
      <w:proofErr w:type="gramEnd"/>
      <w:r w:rsidR="0010057A" w:rsidRPr="0010057A">
        <w:rPr>
          <w:i/>
          <w:iCs/>
        </w:rPr>
        <w:t xml:space="preserve"> implement proportionate measures to ensure that the outcomes of AI use are contestable where appropriate’</w:t>
      </w:r>
      <w:r w:rsidR="00EF5D9A">
        <w:t>.</w:t>
      </w:r>
      <w:r w:rsidR="0010057A">
        <w:t xml:space="preserve"> </w:t>
      </w:r>
      <w:r w:rsidR="00403E8A">
        <w:t>The government proposes that</w:t>
      </w:r>
      <w:r w:rsidR="00F12853" w:rsidRPr="00F12853">
        <w:t xml:space="preserve"> </w:t>
      </w:r>
      <w:r w:rsidR="00EB0CC7">
        <w:t xml:space="preserve">existing </w:t>
      </w:r>
      <w:r w:rsidR="00F12853" w:rsidRPr="00F12853">
        <w:t>regulators will need to adopt a risk-based approach to regulation and may also need to introduce measures for regulated entities to ensure that AI systems are technically secure and function reliably and as intended throughout their entire life cycle</w:t>
      </w:r>
      <w:r w:rsidR="00403E8A">
        <w:t>.</w:t>
      </w:r>
      <w:r w:rsidR="00F12853" w:rsidRPr="00F12853">
        <w:t xml:space="preserve"> </w:t>
      </w:r>
      <w:r w:rsidR="00403E8A">
        <w:t>The challenge to ensure that AI systems function as intended is especially difficult as</w:t>
      </w:r>
      <w:r w:rsidR="00F12853" w:rsidRPr="00F12853">
        <w:t xml:space="preserve"> the very nature of AI </w:t>
      </w:r>
      <w:r w:rsidR="00AA7BD2">
        <w:t xml:space="preserve">means that </w:t>
      </w:r>
      <w:r w:rsidR="00F12853" w:rsidRPr="00F12853">
        <w:t>some risks do not arise from the deliberate actions of bad actors but rather as unintended consequence</w:t>
      </w:r>
      <w:r w:rsidR="00AA7BD2">
        <w:t>s</w:t>
      </w:r>
      <w:r w:rsidR="00F12853" w:rsidRPr="00F12853">
        <w:t xml:space="preserve">. </w:t>
      </w:r>
      <w:proofErr w:type="gramStart"/>
      <w:r w:rsidR="0010057A">
        <w:t>It is clear that much</w:t>
      </w:r>
      <w:proofErr w:type="gramEnd"/>
      <w:r w:rsidR="0010057A">
        <w:t xml:space="preserve"> will be expected from existing regulators</w:t>
      </w:r>
      <w:r w:rsidR="00AA7BD2">
        <w:t>.</w:t>
      </w:r>
      <w:r w:rsidR="0010057A">
        <w:t xml:space="preserve">  </w:t>
      </w:r>
      <w:r w:rsidR="00EF5D9A">
        <w:t xml:space="preserve">    </w:t>
      </w:r>
    </w:p>
    <w:p w14:paraId="7E7A5CE6" w14:textId="51FB31B2" w:rsidR="004A2C7F" w:rsidRDefault="001F2FE2" w:rsidP="00D55189">
      <w:pPr>
        <w:jc w:val="both"/>
      </w:pPr>
      <w:r>
        <w:t>The government’s publication also</w:t>
      </w:r>
      <w:r w:rsidR="00403E8A">
        <w:t>,</w:t>
      </w:r>
      <w:r>
        <w:t xml:space="preserve"> </w:t>
      </w:r>
      <w:r w:rsidR="004A2C7F">
        <w:t>at several points</w:t>
      </w:r>
      <w:r w:rsidR="00403E8A">
        <w:t>,</w:t>
      </w:r>
      <w:r w:rsidR="004A2C7F">
        <w:t xml:space="preserve"> </w:t>
      </w:r>
      <w:r>
        <w:t>acknowledges</w:t>
      </w:r>
      <w:r w:rsidR="004A2C7F">
        <w:t xml:space="preserve"> </w:t>
      </w:r>
      <w:r>
        <w:t>the regulatory gap that exists as far as the existing remits of established regulators</w:t>
      </w:r>
      <w:r w:rsidR="00403E8A">
        <w:t xml:space="preserve"> are concerned</w:t>
      </w:r>
      <w:r w:rsidR="004A2C7F">
        <w:t xml:space="preserve">. </w:t>
      </w:r>
      <w:r w:rsidR="00403E8A">
        <w:t>It accepts that m</w:t>
      </w:r>
      <w:r>
        <w:t>any AI risks do not fall within the sphere of individual regulators</w:t>
      </w:r>
      <w:r w:rsidR="004A2C7F">
        <w:t xml:space="preserve"> and may go unaddressed</w:t>
      </w:r>
      <w:r>
        <w:t xml:space="preserve">. </w:t>
      </w:r>
      <w:r w:rsidR="00403E8A">
        <w:t>The paper</w:t>
      </w:r>
      <w:r w:rsidR="004A2C7F">
        <w:t xml:space="preserve"> highlights the issues raised by self-driving car technology </w:t>
      </w:r>
      <w:r w:rsidR="00403E8A">
        <w:t>as an example that has</w:t>
      </w:r>
      <w:r w:rsidR="004A2C7F">
        <w:t xml:space="preserve"> raised uncertainty about the application of </w:t>
      </w:r>
      <w:proofErr w:type="gramStart"/>
      <w:r w:rsidR="004A2C7F">
        <w:t>particular regimes</w:t>
      </w:r>
      <w:proofErr w:type="gramEnd"/>
      <w:r w:rsidR="004A2C7F">
        <w:t xml:space="preserve"> and accepts that </w:t>
      </w:r>
      <w:r w:rsidR="00403E8A">
        <w:t xml:space="preserve">some </w:t>
      </w:r>
      <w:r w:rsidR="004A2C7F">
        <w:t xml:space="preserve">current regulatory structures </w:t>
      </w:r>
      <w:r w:rsidR="00AA7BD2">
        <w:t>will</w:t>
      </w:r>
      <w:r w:rsidR="004A2C7F">
        <w:t xml:space="preserve"> not be fit for purpose. </w:t>
      </w:r>
      <w:r w:rsidR="00EF5D9A">
        <w:t xml:space="preserve">It notes, for example, that as far as existing consumer law is concerned </w:t>
      </w:r>
      <w:r w:rsidR="00EF5D9A" w:rsidRPr="0010057A">
        <w:rPr>
          <w:i/>
          <w:iCs/>
        </w:rPr>
        <w:t>‘it is not yet clear whether consumer rights law will provide the right level of protection in the context of products that include integrated AI or services based on AI, or how tort law may apply to fill any gap in consumer rights law protection</w:t>
      </w:r>
      <w:r w:rsidR="00536DE9">
        <w:rPr>
          <w:i/>
          <w:iCs/>
        </w:rPr>
        <w:t>’</w:t>
      </w:r>
      <w:r w:rsidR="00EF5D9A" w:rsidRPr="0010057A">
        <w:rPr>
          <w:i/>
          <w:iCs/>
        </w:rPr>
        <w:t>.</w:t>
      </w:r>
      <w:r w:rsidR="00EF5D9A">
        <w:t xml:space="preserve"> </w:t>
      </w:r>
      <w:r w:rsidR="00F12853">
        <w:t>The feedback from business</w:t>
      </w:r>
      <w:r w:rsidR="00130694">
        <w:t>es</w:t>
      </w:r>
      <w:r w:rsidR="00F12853">
        <w:t xml:space="preserve"> to the proposals, as noted in the paper itself, was that the current patchwork of regulation</w:t>
      </w:r>
      <w:r w:rsidR="00403E8A">
        <w:t>,</w:t>
      </w:r>
      <w:r w:rsidR="00F12853">
        <w:t xml:space="preserve"> with very little in the way of central coordination or oversight</w:t>
      </w:r>
      <w:r w:rsidR="00403E8A">
        <w:t>,</w:t>
      </w:r>
      <w:r w:rsidR="00F12853">
        <w:t xml:space="preserve"> will create a growing barrier to innovation.    </w:t>
      </w:r>
    </w:p>
    <w:p w14:paraId="2E89B6D1" w14:textId="69084E38" w:rsidR="00CC2731" w:rsidRDefault="004A2C7F" w:rsidP="00D55189">
      <w:pPr>
        <w:jc w:val="both"/>
      </w:pPr>
      <w:proofErr w:type="gramStart"/>
      <w:r>
        <w:t>In light of</w:t>
      </w:r>
      <w:proofErr w:type="gramEnd"/>
      <w:r>
        <w:t xml:space="preserve"> these type</w:t>
      </w:r>
      <w:r w:rsidR="00130694">
        <w:t>s</w:t>
      </w:r>
      <w:r>
        <w:t xml:space="preserve"> of challenges it is unsurprising that calls are being made for a lead regulator</w:t>
      </w:r>
      <w:r w:rsidR="00403E8A">
        <w:t xml:space="preserve"> with a cross-sector remit</w:t>
      </w:r>
      <w:r>
        <w:t xml:space="preserve">. </w:t>
      </w:r>
      <w:r w:rsidR="00895ECF">
        <w:t xml:space="preserve">One initiative whose approach could be emulated and developed is that of the Digital Regulation Co-operation Forum </w:t>
      </w:r>
      <w:r w:rsidR="00CC2731">
        <w:t xml:space="preserve">(DRCF) </w:t>
      </w:r>
      <w:r w:rsidR="00895ECF">
        <w:t xml:space="preserve">which </w:t>
      </w:r>
      <w:r w:rsidR="00CC2731">
        <w:t xml:space="preserve">presently </w:t>
      </w:r>
      <w:r w:rsidR="00895ECF">
        <w:t xml:space="preserve">considers enhancement of regulatory alignment. </w:t>
      </w:r>
      <w:r>
        <w:t>However, the proposal by the government is</w:t>
      </w:r>
      <w:r w:rsidR="00EF5D9A">
        <w:t xml:space="preserve"> not to have </w:t>
      </w:r>
      <w:r w:rsidR="00895ECF">
        <w:t>a lead regulatory body,</w:t>
      </w:r>
      <w:r w:rsidR="00EF5D9A">
        <w:t xml:space="preserve"> nor to introduce specific statutory provisions which apply to regulate this </w:t>
      </w:r>
      <w:proofErr w:type="gramStart"/>
      <w:r w:rsidR="00403E8A">
        <w:t>particular technology</w:t>
      </w:r>
      <w:proofErr w:type="gramEnd"/>
      <w:r w:rsidR="00EF5D9A">
        <w:t xml:space="preserve">. </w:t>
      </w:r>
      <w:r w:rsidR="0010057A">
        <w:t>It suggests that with clear definitions of what AI is ‘</w:t>
      </w:r>
      <w:r w:rsidR="0010057A" w:rsidRPr="0010057A">
        <w:rPr>
          <w:i/>
          <w:iCs/>
        </w:rPr>
        <w:t xml:space="preserve">an appropriate level of transparency and </w:t>
      </w:r>
      <w:proofErr w:type="spellStart"/>
      <w:r w:rsidR="0010057A" w:rsidRPr="0010057A">
        <w:rPr>
          <w:i/>
          <w:iCs/>
        </w:rPr>
        <w:t>explainability</w:t>
      </w:r>
      <w:proofErr w:type="spellEnd"/>
      <w:r w:rsidR="0010057A" w:rsidRPr="0010057A">
        <w:rPr>
          <w:i/>
          <w:iCs/>
        </w:rPr>
        <w:t xml:space="preserve"> will </w:t>
      </w:r>
      <w:r w:rsidR="0010057A" w:rsidRPr="0010057A">
        <w:rPr>
          <w:i/>
          <w:iCs/>
        </w:rPr>
        <w:lastRenderedPageBreak/>
        <w:t>mean that regulators have sufficient information about AI systems and their associated inputs and outputs to give meaningful effect to the other principles of regulation’.</w:t>
      </w:r>
      <w:r w:rsidR="0010057A">
        <w:rPr>
          <w:i/>
          <w:iCs/>
        </w:rPr>
        <w:t xml:space="preserve"> </w:t>
      </w:r>
      <w:r w:rsidR="0010057A">
        <w:t xml:space="preserve">It also sets out </w:t>
      </w:r>
      <w:r w:rsidR="0010057A" w:rsidRPr="0010057A">
        <w:t>five principles which are to ‘</w:t>
      </w:r>
      <w:r w:rsidR="0010057A" w:rsidRPr="0010057A">
        <w:rPr>
          <w:i/>
          <w:iCs/>
        </w:rPr>
        <w:t>guide and inform the responsible development and use of AI in all sectors of the economy</w:t>
      </w:r>
      <w:r w:rsidR="00536DE9">
        <w:rPr>
          <w:i/>
          <w:iCs/>
        </w:rPr>
        <w:t>,</w:t>
      </w:r>
      <w:r w:rsidR="0010057A" w:rsidRPr="0010057A">
        <w:t xml:space="preserve"> which include, </w:t>
      </w:r>
      <w:r w:rsidR="00AA7BD2">
        <w:t>(a)</w:t>
      </w:r>
      <w:r w:rsidR="00536DE9">
        <w:t xml:space="preserve"> </w:t>
      </w:r>
      <w:r w:rsidR="0010057A" w:rsidRPr="0010057A">
        <w:t xml:space="preserve">safety, security and robustness, </w:t>
      </w:r>
      <w:r w:rsidR="00AA7BD2">
        <w:t>(b)</w:t>
      </w:r>
      <w:r w:rsidR="00536DE9">
        <w:t xml:space="preserve"> </w:t>
      </w:r>
      <w:r w:rsidR="0010057A" w:rsidRPr="0010057A">
        <w:t xml:space="preserve">appropriate transparency and </w:t>
      </w:r>
      <w:proofErr w:type="spellStart"/>
      <w:r w:rsidR="0010057A" w:rsidRPr="0010057A">
        <w:t>explainability</w:t>
      </w:r>
      <w:proofErr w:type="spellEnd"/>
      <w:r w:rsidR="0010057A" w:rsidRPr="0010057A">
        <w:t xml:space="preserve">, </w:t>
      </w:r>
      <w:r w:rsidR="00AA7BD2">
        <w:t xml:space="preserve">(c) </w:t>
      </w:r>
      <w:r w:rsidR="0010057A" w:rsidRPr="0010057A">
        <w:t xml:space="preserve">fairness, </w:t>
      </w:r>
      <w:r w:rsidR="00AA7BD2">
        <w:t xml:space="preserve">(d) </w:t>
      </w:r>
      <w:r w:rsidR="0010057A" w:rsidRPr="0010057A">
        <w:t>accountability and governance</w:t>
      </w:r>
      <w:r w:rsidR="00AA7BD2">
        <w:t xml:space="preserve"> and (e)</w:t>
      </w:r>
      <w:r w:rsidR="0010057A" w:rsidRPr="0010057A">
        <w:t xml:space="preserve"> contestability and redress. </w:t>
      </w:r>
      <w:r w:rsidR="0010057A">
        <w:t xml:space="preserve">These principles will be initially issued on a non-statutory basis with a later review to consider </w:t>
      </w:r>
      <w:proofErr w:type="gramStart"/>
      <w:r w:rsidR="0010057A">
        <w:t>whether or not</w:t>
      </w:r>
      <w:proofErr w:type="gramEnd"/>
      <w:r w:rsidR="0010057A">
        <w:t xml:space="preserve"> to place them on a statutory footing</w:t>
      </w:r>
      <w:r w:rsidR="00F12853">
        <w:t xml:space="preserve"> in the form of a duty upon existing regulators. </w:t>
      </w:r>
      <w:r w:rsidR="0010057A">
        <w:t xml:space="preserve">However, in the meantime, </w:t>
      </w:r>
      <w:r w:rsidR="00AA7BD2">
        <w:t>the government</w:t>
      </w:r>
      <w:r w:rsidR="0010057A">
        <w:t xml:space="preserve"> expects regulators to apply these principles within their existing remits and promises that </w:t>
      </w:r>
      <w:r w:rsidR="00AA7BD2">
        <w:t>it</w:t>
      </w:r>
      <w:r w:rsidR="0010057A">
        <w:t xml:space="preserve"> will </w:t>
      </w:r>
      <w:r w:rsidR="0010057A" w:rsidRPr="0010057A">
        <w:rPr>
          <w:i/>
          <w:iCs/>
        </w:rPr>
        <w:t>‘support regulators to apply the principles using the powers and resources available to them’</w:t>
      </w:r>
      <w:r w:rsidR="0010057A">
        <w:t xml:space="preserve">. </w:t>
      </w:r>
      <w:r w:rsidR="00F12853">
        <w:t>The reference to use of the regulator’s own powers and resources, rather than t</w:t>
      </w:r>
      <w:r w:rsidR="00AA7BD2">
        <w:t>hose</w:t>
      </w:r>
      <w:r w:rsidR="00F12853">
        <w:t xml:space="preserve"> of </w:t>
      </w:r>
      <w:r w:rsidR="00AA7BD2">
        <w:t>central</w:t>
      </w:r>
      <w:r w:rsidR="00F12853">
        <w:t xml:space="preserve"> government</w:t>
      </w:r>
      <w:r w:rsidR="00536DE9">
        <w:t>,</w:t>
      </w:r>
      <w:r w:rsidR="00F12853">
        <w:t xml:space="preserve"> </w:t>
      </w:r>
      <w:r w:rsidR="00426D1B">
        <w:t xml:space="preserve">is </w:t>
      </w:r>
      <w:r w:rsidR="00F12853">
        <w:t xml:space="preserve">a statement which some regulators may be forgiven for believing to be underwhelming. However, central government does intend to provide what it describes as </w:t>
      </w:r>
      <w:r w:rsidR="00F12853" w:rsidRPr="00155047">
        <w:rPr>
          <w:i/>
          <w:iCs/>
        </w:rPr>
        <w:t>‘central regulatory guidance’</w:t>
      </w:r>
      <w:r w:rsidR="00F12853">
        <w:t xml:space="preserve"> and establish </w:t>
      </w:r>
      <w:r w:rsidR="00F12853" w:rsidRPr="00155047">
        <w:rPr>
          <w:i/>
          <w:iCs/>
        </w:rPr>
        <w:t>‘new central functions’</w:t>
      </w:r>
      <w:r w:rsidR="00F12853">
        <w:t xml:space="preserve"> </w:t>
      </w:r>
      <w:r w:rsidR="00895ECF">
        <w:t>to ‘</w:t>
      </w:r>
      <w:r w:rsidR="00895ECF" w:rsidRPr="00155047">
        <w:rPr>
          <w:i/>
          <w:iCs/>
        </w:rPr>
        <w:t>coordinate, monitor and adapt the framework as a whole’</w:t>
      </w:r>
      <w:r w:rsidR="00895ECF">
        <w:t xml:space="preserve">. However, when the proposals are looked </w:t>
      </w:r>
      <w:r w:rsidR="00155047">
        <w:t xml:space="preserve">at </w:t>
      </w:r>
      <w:r w:rsidR="00895ECF">
        <w:t xml:space="preserve">in detail, it seems that </w:t>
      </w:r>
      <w:r w:rsidR="00403E8A">
        <w:t xml:space="preserve">the </w:t>
      </w:r>
      <w:r w:rsidR="00895ECF">
        <w:t xml:space="preserve">direct practical assistance that the regulators can expect from central government will boil down to </w:t>
      </w:r>
      <w:r w:rsidR="00155047">
        <w:t xml:space="preserve">being </w:t>
      </w:r>
      <w:r w:rsidR="00895ECF">
        <w:t>support</w:t>
      </w:r>
      <w:r w:rsidR="00155047">
        <w:t xml:space="preserve">ed </w:t>
      </w:r>
      <w:r w:rsidR="00895ECF">
        <w:t>and equipp</w:t>
      </w:r>
      <w:r w:rsidR="00155047">
        <w:t xml:space="preserve">ed </w:t>
      </w:r>
      <w:r w:rsidR="00895ECF">
        <w:t>to undertake their own internal monitoring and evaluation</w:t>
      </w:r>
      <w:r w:rsidR="00155047">
        <w:t xml:space="preserve"> with </w:t>
      </w:r>
      <w:r w:rsidR="00155047" w:rsidRPr="00155047">
        <w:t>assistance to resolve those discrepancies that have a significant impact on innovation</w:t>
      </w:r>
      <w:r w:rsidR="00155047">
        <w:t>. Central government promises to go further by</w:t>
      </w:r>
      <w:r w:rsidR="00895ECF">
        <w:t xml:space="preserve"> </w:t>
      </w:r>
      <w:r w:rsidR="00155047">
        <w:t>producing</w:t>
      </w:r>
      <w:r w:rsidR="00895ECF">
        <w:t xml:space="preserve"> central regulatory guidance and develop</w:t>
      </w:r>
      <w:r w:rsidR="00155047">
        <w:t>ing</w:t>
      </w:r>
      <w:r w:rsidR="00895ECF">
        <w:t xml:space="preserve"> and maintain</w:t>
      </w:r>
      <w:r w:rsidR="00155047">
        <w:t>ing</w:t>
      </w:r>
      <w:r w:rsidR="00895ECF">
        <w:t xml:space="preserve"> a cross-economy, society-wide AI risk register </w:t>
      </w:r>
      <w:r w:rsidR="00155047">
        <w:t xml:space="preserve">which can be used </w:t>
      </w:r>
      <w:r w:rsidR="00895ECF">
        <w:t>to support regulators’ internal risk assessments</w:t>
      </w:r>
      <w:r w:rsidR="00155047">
        <w:t xml:space="preserve"> but, otherwise, concrete assistance seems rather ‘thin’</w:t>
      </w:r>
      <w:r w:rsidR="00895ECF">
        <w:t xml:space="preserve">. One port of call </w:t>
      </w:r>
      <w:r w:rsidR="00CC2731">
        <w:t xml:space="preserve">for alternative assistance a regulator may have considered might have been the DRCF; however, the view of the government </w:t>
      </w:r>
      <w:r w:rsidR="00155047">
        <w:t xml:space="preserve">as </w:t>
      </w:r>
      <w:r w:rsidR="00403E8A">
        <w:t xml:space="preserve">expressed in the paper </w:t>
      </w:r>
      <w:r w:rsidR="00CC2731">
        <w:t>is that this body was not created to support the delivery of the functions that have been identified.</w:t>
      </w:r>
      <w:r w:rsidR="00155047">
        <w:t xml:space="preserve"> That the weary regulator cannot expect ongoing support from this quarter was therefore made clear. </w:t>
      </w:r>
      <w:r w:rsidR="00CC2731">
        <w:t xml:space="preserve">  </w:t>
      </w:r>
    </w:p>
    <w:p w14:paraId="0F052636" w14:textId="767ACF3E" w:rsidR="00EB0CC7" w:rsidRDefault="00CC2731" w:rsidP="00D55189">
      <w:pPr>
        <w:jc w:val="both"/>
      </w:pPr>
      <w:r>
        <w:t>Th</w:t>
      </w:r>
      <w:r w:rsidR="00AA7BD2">
        <w:t>is</w:t>
      </w:r>
      <w:r w:rsidR="00403E8A">
        <w:t xml:space="preserve"> present article does not propose to </w:t>
      </w:r>
      <w:r>
        <w:t xml:space="preserve">enter the debate about whether a ‘light touch’ regulatory regime is appropriate or not. However, the simple point is that establishing a lead regulator with specific powers and specialist knowledge does not inevitably result in a </w:t>
      </w:r>
      <w:r w:rsidR="00AA7BD2">
        <w:t>‘</w:t>
      </w:r>
      <w:r>
        <w:t>heavy-handed</w:t>
      </w:r>
      <w:r w:rsidR="00AA7BD2">
        <w:t>’</w:t>
      </w:r>
      <w:r>
        <w:t xml:space="preserve"> approach to regulation. As any regulatory lawyer will instinctively know, the key to how regulation is applied in practice depends on a carefully considered enforcement policy.</w:t>
      </w:r>
      <w:r w:rsidR="004C5D84">
        <w:t xml:space="preserve"> Such a policy which is based on ‘light touch’ principles</w:t>
      </w:r>
      <w:r w:rsidR="00155047">
        <w:t>,</w:t>
      </w:r>
      <w:r w:rsidR="004C5D84">
        <w:t xml:space="preserve"> in whatever shape or form</w:t>
      </w:r>
      <w:r w:rsidR="00155047">
        <w:t>,</w:t>
      </w:r>
      <w:r w:rsidR="004C5D84">
        <w:t xml:space="preserve"> does not need to prejudice the ability </w:t>
      </w:r>
      <w:r w:rsidR="00AA7BD2">
        <w:t xml:space="preserve">of a lead regulator </w:t>
      </w:r>
      <w:r w:rsidR="004C5D84">
        <w:t xml:space="preserve">to identify by means of specialist knowledge when </w:t>
      </w:r>
      <w:r w:rsidR="00155047">
        <w:t xml:space="preserve">it is necessary </w:t>
      </w:r>
      <w:r w:rsidR="004C5D84">
        <w:t xml:space="preserve">to intervene and how to do </w:t>
      </w:r>
      <w:r w:rsidR="00155047">
        <w:t>this</w:t>
      </w:r>
      <w:r w:rsidR="004C5D84">
        <w:t xml:space="preserve"> effectively. This is something which the government’s white paper does not actually appear to acknowledge. Instead, </w:t>
      </w:r>
      <w:r w:rsidR="00AA7BD2">
        <w:t>the government</w:t>
      </w:r>
      <w:r w:rsidR="004C5D84">
        <w:t xml:space="preserve"> bases its case against having a lead regulator with new specific statutory powers on the assertion that ‘</w:t>
      </w:r>
      <w:r w:rsidR="004C5D84" w:rsidRPr="004C5D84">
        <w:rPr>
          <w:i/>
          <w:iCs/>
        </w:rPr>
        <w:t>creating a new AI-specific, cross-sector regulator would introduce complexity and confusion, undermining and likely conflicting with the work of our existing expert regulators’</w:t>
      </w:r>
      <w:r w:rsidR="004C5D84" w:rsidRPr="004C5D84">
        <w:t>.</w:t>
      </w:r>
      <w:r w:rsidR="004C5D84">
        <w:t xml:space="preserve"> Such arguments against regulation may be familiar to practitioners of many years standing and, given </w:t>
      </w:r>
      <w:r w:rsidR="00AA7BD2">
        <w:t>the</w:t>
      </w:r>
      <w:r w:rsidR="004C5D84">
        <w:t xml:space="preserve"> </w:t>
      </w:r>
      <w:r w:rsidR="00AA7BD2">
        <w:t xml:space="preserve">modern </w:t>
      </w:r>
      <w:r w:rsidR="004C5D84">
        <w:t>experience which has seen a growth in regulation and regulators generally</w:t>
      </w:r>
      <w:r w:rsidR="00EB0CC7">
        <w:t xml:space="preserve"> without such significant adverse effect</w:t>
      </w:r>
      <w:r w:rsidR="00AA7BD2">
        <w:t>s</w:t>
      </w:r>
      <w:r w:rsidR="00EB0CC7">
        <w:t>, may be open to doubt. Leaving that aside, it is telling that, whilst there is considerable material within the white paper which makes the case for specific regulation</w:t>
      </w:r>
      <w:r w:rsidR="00AA7BD2">
        <w:t xml:space="preserve"> by a lead regulator</w:t>
      </w:r>
      <w:r w:rsidR="00EB0CC7">
        <w:t>, there is little evidence in the document to back up th</w:t>
      </w:r>
      <w:r w:rsidR="00AA7BD2">
        <w:t>is</w:t>
      </w:r>
      <w:r w:rsidR="00EB0CC7">
        <w:t xml:space="preserve"> </w:t>
      </w:r>
      <w:proofErr w:type="gramStart"/>
      <w:r w:rsidR="00EB0CC7">
        <w:t>particular assertion</w:t>
      </w:r>
      <w:proofErr w:type="gramEnd"/>
      <w:r w:rsidR="00EB0CC7">
        <w:t xml:space="preserve"> </w:t>
      </w:r>
      <w:r w:rsidR="00AA7BD2">
        <w:t xml:space="preserve">of uncertainty </w:t>
      </w:r>
      <w:r w:rsidR="00EB0CC7">
        <w:t xml:space="preserve">upon which such a major plank of policy rests. It may be </w:t>
      </w:r>
      <w:r w:rsidR="00AA7BD2">
        <w:t xml:space="preserve">that </w:t>
      </w:r>
      <w:r w:rsidR="00EB0CC7">
        <w:t>there are real and cogent arguments for this type of approach to regulation but there is no compelling evidence for it identified in th</w:t>
      </w:r>
      <w:r w:rsidR="00AA7BD2">
        <w:t>e white paper</w:t>
      </w:r>
      <w:r w:rsidR="00EB0CC7">
        <w:t xml:space="preserve">. Perhaps </w:t>
      </w:r>
      <w:proofErr w:type="spellStart"/>
      <w:r w:rsidR="00EB0CC7">
        <w:t>ChatGPT</w:t>
      </w:r>
      <w:proofErr w:type="spellEnd"/>
      <w:r w:rsidR="00EB0CC7">
        <w:t xml:space="preserve"> could do better. </w:t>
      </w:r>
    </w:p>
    <w:p w14:paraId="774AC3CF" w14:textId="0C7D4CFC" w:rsidR="0076383A" w:rsidRDefault="0076383A" w:rsidP="00D55189">
      <w:pPr>
        <w:jc w:val="both"/>
      </w:pPr>
      <w:r>
        <w:t>Gordon Menzies</w:t>
      </w:r>
    </w:p>
    <w:p w14:paraId="717B4F80" w14:textId="10E3D23D" w:rsidR="001F2FE2" w:rsidRDefault="00EB0CC7" w:rsidP="00D55189">
      <w:pPr>
        <w:jc w:val="both"/>
      </w:pPr>
      <w:r>
        <w:t xml:space="preserve">     </w:t>
      </w:r>
    </w:p>
    <w:p w14:paraId="176A11BD" w14:textId="7E25214C" w:rsidR="007A3487" w:rsidRDefault="001F2FE2" w:rsidP="00D55189">
      <w:pPr>
        <w:jc w:val="both"/>
      </w:pPr>
      <w:r>
        <w:t xml:space="preserve">    </w:t>
      </w:r>
      <w:r w:rsidR="007A3487">
        <w:t xml:space="preserve">  </w:t>
      </w:r>
    </w:p>
    <w:p w14:paraId="5B4B38A8" w14:textId="27CD5CFA" w:rsidR="00D04318" w:rsidRDefault="00D04318">
      <w:r>
        <w:lastRenderedPageBreak/>
        <w:t xml:space="preserve"> </w:t>
      </w:r>
    </w:p>
    <w:sectPr w:rsidR="00D043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16CA1" w14:textId="77777777" w:rsidR="00CA3DCA" w:rsidRDefault="00CA3DCA" w:rsidP="00D04318">
      <w:pPr>
        <w:spacing w:after="0" w:line="240" w:lineRule="auto"/>
      </w:pPr>
      <w:r>
        <w:separator/>
      </w:r>
    </w:p>
  </w:endnote>
  <w:endnote w:type="continuationSeparator" w:id="0">
    <w:p w14:paraId="761EA3AC" w14:textId="77777777" w:rsidR="00CA3DCA" w:rsidRDefault="00CA3DCA" w:rsidP="00D04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413D" w14:textId="77777777" w:rsidR="00CA3DCA" w:rsidRDefault="00CA3DCA" w:rsidP="00D04318">
      <w:pPr>
        <w:spacing w:after="0" w:line="240" w:lineRule="auto"/>
      </w:pPr>
      <w:r>
        <w:separator/>
      </w:r>
    </w:p>
  </w:footnote>
  <w:footnote w:type="continuationSeparator" w:id="0">
    <w:p w14:paraId="14E25782" w14:textId="77777777" w:rsidR="00CA3DCA" w:rsidRDefault="00CA3DCA" w:rsidP="00D043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18"/>
    <w:rsid w:val="000D6CE1"/>
    <w:rsid w:val="0010057A"/>
    <w:rsid w:val="00130694"/>
    <w:rsid w:val="00155047"/>
    <w:rsid w:val="0017028D"/>
    <w:rsid w:val="001F2FE2"/>
    <w:rsid w:val="00205433"/>
    <w:rsid w:val="00207F01"/>
    <w:rsid w:val="003F1DD3"/>
    <w:rsid w:val="00403E8A"/>
    <w:rsid w:val="00426D1B"/>
    <w:rsid w:val="00480BDA"/>
    <w:rsid w:val="004A2C7F"/>
    <w:rsid w:val="004C5D84"/>
    <w:rsid w:val="00514581"/>
    <w:rsid w:val="00520C1C"/>
    <w:rsid w:val="00536DE9"/>
    <w:rsid w:val="005713DC"/>
    <w:rsid w:val="00663CAB"/>
    <w:rsid w:val="007140C6"/>
    <w:rsid w:val="0076383A"/>
    <w:rsid w:val="007A3487"/>
    <w:rsid w:val="00836C42"/>
    <w:rsid w:val="00895ECF"/>
    <w:rsid w:val="00936749"/>
    <w:rsid w:val="00A31B54"/>
    <w:rsid w:val="00A90F5B"/>
    <w:rsid w:val="00AA7BD2"/>
    <w:rsid w:val="00CA3DCA"/>
    <w:rsid w:val="00CC2731"/>
    <w:rsid w:val="00D04318"/>
    <w:rsid w:val="00D215C3"/>
    <w:rsid w:val="00D55189"/>
    <w:rsid w:val="00EB0CC7"/>
    <w:rsid w:val="00EF5D9A"/>
    <w:rsid w:val="00F12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DD09"/>
  <w15:chartTrackingRefBased/>
  <w15:docId w15:val="{A317134E-F599-4ED3-848C-F225AE81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43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318"/>
    <w:rPr>
      <w:sz w:val="20"/>
      <w:szCs w:val="20"/>
    </w:rPr>
  </w:style>
  <w:style w:type="character" w:styleId="FootnoteReference">
    <w:name w:val="footnote reference"/>
    <w:basedOn w:val="DefaultParagraphFont"/>
    <w:uiPriority w:val="99"/>
    <w:semiHidden/>
    <w:unhideWhenUsed/>
    <w:rsid w:val="00D04318"/>
    <w:rPr>
      <w:vertAlign w:val="superscript"/>
    </w:rPr>
  </w:style>
  <w:style w:type="paragraph" w:styleId="Revision">
    <w:name w:val="Revision"/>
    <w:hidden/>
    <w:uiPriority w:val="99"/>
    <w:semiHidden/>
    <w:rsid w:val="00130694"/>
    <w:pPr>
      <w:spacing w:after="0" w:line="240" w:lineRule="auto"/>
    </w:pPr>
  </w:style>
  <w:style w:type="character" w:styleId="CommentReference">
    <w:name w:val="annotation reference"/>
    <w:basedOn w:val="DefaultParagraphFont"/>
    <w:uiPriority w:val="99"/>
    <w:semiHidden/>
    <w:unhideWhenUsed/>
    <w:rsid w:val="00130694"/>
    <w:rPr>
      <w:sz w:val="16"/>
      <w:szCs w:val="16"/>
    </w:rPr>
  </w:style>
  <w:style w:type="paragraph" w:styleId="CommentText">
    <w:name w:val="annotation text"/>
    <w:basedOn w:val="Normal"/>
    <w:link w:val="CommentTextChar"/>
    <w:uiPriority w:val="99"/>
    <w:semiHidden/>
    <w:unhideWhenUsed/>
    <w:rsid w:val="00130694"/>
    <w:pPr>
      <w:spacing w:line="240" w:lineRule="auto"/>
    </w:pPr>
    <w:rPr>
      <w:sz w:val="20"/>
      <w:szCs w:val="20"/>
    </w:rPr>
  </w:style>
  <w:style w:type="character" w:customStyle="1" w:styleId="CommentTextChar">
    <w:name w:val="Comment Text Char"/>
    <w:basedOn w:val="DefaultParagraphFont"/>
    <w:link w:val="CommentText"/>
    <w:uiPriority w:val="99"/>
    <w:semiHidden/>
    <w:rsid w:val="00130694"/>
    <w:rPr>
      <w:sz w:val="20"/>
      <w:szCs w:val="20"/>
    </w:rPr>
  </w:style>
  <w:style w:type="paragraph" w:styleId="CommentSubject">
    <w:name w:val="annotation subject"/>
    <w:basedOn w:val="CommentText"/>
    <w:next w:val="CommentText"/>
    <w:link w:val="CommentSubjectChar"/>
    <w:uiPriority w:val="99"/>
    <w:semiHidden/>
    <w:unhideWhenUsed/>
    <w:rsid w:val="00130694"/>
    <w:rPr>
      <w:b/>
      <w:bCs/>
    </w:rPr>
  </w:style>
  <w:style w:type="character" w:customStyle="1" w:styleId="CommentSubjectChar">
    <w:name w:val="Comment Subject Char"/>
    <w:basedOn w:val="CommentTextChar"/>
    <w:link w:val="CommentSubject"/>
    <w:uiPriority w:val="99"/>
    <w:semiHidden/>
    <w:rsid w:val="001306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EB85F-A75F-429D-8533-8A35E5453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1248</Words>
  <Characters>7116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Menzies</dc:creator>
  <cp:keywords/>
  <dc:description/>
  <cp:lastModifiedBy>Caron Seaward</cp:lastModifiedBy>
  <cp:revision>2</cp:revision>
  <dcterms:created xsi:type="dcterms:W3CDTF">2023-05-25T14:35:00Z</dcterms:created>
  <dcterms:modified xsi:type="dcterms:W3CDTF">2023-05-25T14:35:00Z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2023-05-21T12:38:07Z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dd16ddc3-26c4-4859-bf9d-73e5398c6c4f</vt:lpwstr>
  </property>
  <property fmtid="{D5CDD505-2E9C-101B-9397-08002B2CF9AE}" pid="7" name="MSIP_Label_defa4170-0d19-0005-0004-bc88714345d2_ActionId">
    <vt:lpwstr>50b537c5-2b12-4269-8f7a-2b888fc498d2</vt:lpwstr>
  </property>
  <property fmtid="{D5CDD505-2E9C-101B-9397-08002B2CF9AE}" pid="8" name="MSIP_Label_defa4170-0d19-0005-0004-bc88714345d2_ContentBits">
    <vt:lpwstr>0</vt:lpwstr>
  </property>
</Properties>
</file>